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B08D2" w14:textId="77777777" w:rsidR="00AC3293" w:rsidRDefault="00AC3293">
      <w:pPr>
        <w:rPr>
          <w:rFonts w:ascii="Helvetica Neue" w:eastAsia="Helvetica Neue" w:hAnsi="Helvetica Neue" w:cs="Helvetica Neue"/>
          <w:b/>
        </w:rPr>
      </w:pPr>
    </w:p>
    <w:p w14:paraId="308E3B1A" w14:textId="77777777" w:rsidR="00AC3293" w:rsidRDefault="007A7D9E">
      <w:pPr>
        <w:jc w:val="center"/>
        <w:rPr>
          <w:rFonts w:ascii="Helvetica Neue" w:eastAsia="Helvetica Neue" w:hAnsi="Helvetica Neue" w:cs="Helvetica Neue"/>
          <w:b/>
          <w:sz w:val="32"/>
          <w:szCs w:val="32"/>
        </w:rPr>
      </w:pPr>
      <w:r>
        <w:rPr>
          <w:rFonts w:ascii="Verdana" w:eastAsia="Verdana" w:hAnsi="Verdana" w:cs="Verdana"/>
          <w:noProof/>
          <w:color w:val="4F81BD"/>
          <w:sz w:val="40"/>
          <w:szCs w:val="40"/>
        </w:rPr>
        <w:drawing>
          <wp:inline distT="0" distB="0" distL="0" distR="0" wp14:anchorId="1F83E16B" wp14:editId="216B7BF9">
            <wp:extent cx="908213" cy="600075"/>
            <wp:effectExtent l="0" t="0" r="0" b="0"/>
            <wp:docPr id="2" name="image1.png" descr="A bird flying in the 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ird flying in the air&#10;&#10;Description automatically generated"/>
                    <pic:cNvPicPr preferRelativeResize="0"/>
                  </pic:nvPicPr>
                  <pic:blipFill>
                    <a:blip r:embed="rId8"/>
                    <a:srcRect/>
                    <a:stretch>
                      <a:fillRect/>
                    </a:stretch>
                  </pic:blipFill>
                  <pic:spPr>
                    <a:xfrm>
                      <a:off x="0" y="0"/>
                      <a:ext cx="908213" cy="600075"/>
                    </a:xfrm>
                    <a:prstGeom prst="rect">
                      <a:avLst/>
                    </a:prstGeom>
                    <a:ln/>
                  </pic:spPr>
                </pic:pic>
              </a:graphicData>
            </a:graphic>
          </wp:inline>
        </w:drawing>
      </w:r>
    </w:p>
    <w:p w14:paraId="5B7E33FA" w14:textId="77777777" w:rsidR="00AC3293" w:rsidRDefault="00AC3293">
      <w:pPr>
        <w:jc w:val="center"/>
        <w:rPr>
          <w:rFonts w:ascii="Helvetica Neue" w:eastAsia="Helvetica Neue" w:hAnsi="Helvetica Neue" w:cs="Helvetica Neue"/>
          <w:b/>
          <w:i/>
          <w:sz w:val="28"/>
          <w:szCs w:val="28"/>
        </w:rPr>
      </w:pPr>
    </w:p>
    <w:p w14:paraId="139CEE5E" w14:textId="77777777" w:rsidR="00AC3293" w:rsidRDefault="007A7D9E">
      <w:pPr>
        <w:jc w:val="center"/>
        <w:rPr>
          <w:rFonts w:ascii="Century Gothic" w:eastAsia="Century Gothic" w:hAnsi="Century Gothic" w:cs="Century Gothic"/>
          <w:b/>
          <w:sz w:val="44"/>
          <w:szCs w:val="44"/>
        </w:rPr>
      </w:pPr>
      <w:r>
        <w:rPr>
          <w:rFonts w:ascii="Century Gothic" w:eastAsia="Century Gothic" w:hAnsi="Century Gothic" w:cs="Century Gothic"/>
          <w:b/>
          <w:sz w:val="44"/>
          <w:szCs w:val="44"/>
        </w:rPr>
        <w:t>Exclusions Policy</w:t>
      </w:r>
    </w:p>
    <w:p w14:paraId="067138E2" w14:textId="77777777" w:rsidR="00AC3293" w:rsidRDefault="00AC3293">
      <w:p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p>
    <w:p w14:paraId="409FFA70" w14:textId="77777777" w:rsidR="00AC3293" w:rsidRDefault="00AC3293">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tbl>
      <w:tblPr>
        <w:tblStyle w:val="a"/>
        <w:tblpPr w:leftFromText="180" w:rightFromText="180" w:vertAnchor="page" w:horzAnchor="margin" w:tblpY="519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3159"/>
        <w:gridCol w:w="2020"/>
        <w:gridCol w:w="2523"/>
      </w:tblGrid>
      <w:tr w:rsidR="00AC3293" w14:paraId="62D6E91D" w14:textId="77777777">
        <w:trPr>
          <w:trHeight w:val="586"/>
        </w:trPr>
        <w:tc>
          <w:tcPr>
            <w:tcW w:w="4473" w:type="dxa"/>
            <w:gridSpan w:val="2"/>
            <w:vAlign w:val="center"/>
          </w:tcPr>
          <w:p w14:paraId="54576757" w14:textId="77777777" w:rsidR="00AC3293" w:rsidRDefault="007A7D9E">
            <w:pPr>
              <w:rPr>
                <w:rFonts w:ascii="Century Gothic" w:eastAsia="Century Gothic" w:hAnsi="Century Gothic" w:cs="Century Gothic"/>
                <w:b/>
                <w:sz w:val="20"/>
                <w:szCs w:val="20"/>
              </w:rPr>
            </w:pPr>
            <w:r>
              <w:rPr>
                <w:rFonts w:ascii="Century Gothic" w:eastAsia="Century Gothic" w:hAnsi="Century Gothic" w:cs="Century Gothic"/>
                <w:b/>
                <w:sz w:val="20"/>
                <w:szCs w:val="20"/>
              </w:rPr>
              <w:t>Review Cycle</w:t>
            </w:r>
          </w:p>
        </w:tc>
        <w:tc>
          <w:tcPr>
            <w:tcW w:w="4543" w:type="dxa"/>
            <w:gridSpan w:val="2"/>
            <w:vAlign w:val="center"/>
          </w:tcPr>
          <w:p w14:paraId="3824477A" w14:textId="77777777" w:rsidR="00AC3293" w:rsidRDefault="007A7D9E">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Annual</w:t>
            </w:r>
          </w:p>
        </w:tc>
      </w:tr>
      <w:tr w:rsidR="00AC3293" w14:paraId="76E9FE3E" w14:textId="77777777">
        <w:trPr>
          <w:trHeight w:val="586"/>
        </w:trPr>
        <w:tc>
          <w:tcPr>
            <w:tcW w:w="4473" w:type="dxa"/>
            <w:gridSpan w:val="2"/>
            <w:vAlign w:val="center"/>
          </w:tcPr>
          <w:p w14:paraId="69B9D68C" w14:textId="77777777" w:rsidR="00AC3293" w:rsidRDefault="007A7D9E">
            <w:pPr>
              <w:rPr>
                <w:rFonts w:ascii="Century Gothic" w:eastAsia="Century Gothic" w:hAnsi="Century Gothic" w:cs="Century Gothic"/>
                <w:b/>
                <w:sz w:val="20"/>
                <w:szCs w:val="20"/>
              </w:rPr>
            </w:pPr>
            <w:r>
              <w:rPr>
                <w:rFonts w:ascii="Century Gothic" w:eastAsia="Century Gothic" w:hAnsi="Century Gothic" w:cs="Century Gothic"/>
                <w:b/>
                <w:sz w:val="20"/>
                <w:szCs w:val="20"/>
              </w:rPr>
              <w:t>Policy / Procedure Owner</w:t>
            </w:r>
          </w:p>
          <w:p w14:paraId="1968B0F9" w14:textId="77777777" w:rsidR="00AC3293" w:rsidRDefault="007A7D9E">
            <w:pPr>
              <w:rPr>
                <w:rFonts w:ascii="Century Gothic" w:eastAsia="Century Gothic" w:hAnsi="Century Gothic" w:cs="Century Gothic"/>
                <w:sz w:val="20"/>
                <w:szCs w:val="20"/>
              </w:rPr>
            </w:pPr>
            <w:r>
              <w:rPr>
                <w:rFonts w:ascii="Century Gothic" w:eastAsia="Century Gothic" w:hAnsi="Century Gothic" w:cs="Century Gothic"/>
                <w:sz w:val="14"/>
                <w:szCs w:val="14"/>
              </w:rPr>
              <w:t>*Owner has overall responsibility for this document</w:t>
            </w:r>
          </w:p>
        </w:tc>
        <w:tc>
          <w:tcPr>
            <w:tcW w:w="4543" w:type="dxa"/>
            <w:gridSpan w:val="2"/>
            <w:vAlign w:val="center"/>
          </w:tcPr>
          <w:p w14:paraId="6059FA73" w14:textId="77777777" w:rsidR="00AC3293" w:rsidRDefault="007A7D9E">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Headteacher</w:t>
            </w:r>
          </w:p>
        </w:tc>
      </w:tr>
      <w:tr w:rsidR="00AC3293" w14:paraId="18F2CEED" w14:textId="77777777">
        <w:trPr>
          <w:trHeight w:val="586"/>
        </w:trPr>
        <w:tc>
          <w:tcPr>
            <w:tcW w:w="4473" w:type="dxa"/>
            <w:gridSpan w:val="2"/>
            <w:vAlign w:val="center"/>
          </w:tcPr>
          <w:p w14:paraId="09CB8304" w14:textId="77777777" w:rsidR="00AC3293" w:rsidRDefault="007A7D9E">
            <w:pPr>
              <w:rPr>
                <w:rFonts w:ascii="Century Gothic" w:eastAsia="Century Gothic" w:hAnsi="Century Gothic" w:cs="Century Gothic"/>
                <w:b/>
                <w:sz w:val="20"/>
                <w:szCs w:val="20"/>
              </w:rPr>
            </w:pPr>
            <w:r>
              <w:rPr>
                <w:rFonts w:ascii="Century Gothic" w:eastAsia="Century Gothic" w:hAnsi="Century Gothic" w:cs="Century Gothic"/>
                <w:b/>
                <w:sz w:val="20"/>
                <w:szCs w:val="20"/>
              </w:rPr>
              <w:t>Reviewed by:</w:t>
            </w:r>
          </w:p>
        </w:tc>
        <w:tc>
          <w:tcPr>
            <w:tcW w:w="4543" w:type="dxa"/>
            <w:gridSpan w:val="2"/>
            <w:vAlign w:val="center"/>
          </w:tcPr>
          <w:p w14:paraId="5F6DF8E8" w14:textId="08E4F64E" w:rsidR="00AC3293" w:rsidRDefault="007A7D9E">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Proprietor</w:t>
            </w:r>
            <w:r w:rsidR="00AA106B">
              <w:rPr>
                <w:rFonts w:ascii="Century Gothic" w:eastAsia="Century Gothic" w:hAnsi="Century Gothic" w:cs="Century Gothic"/>
                <w:sz w:val="20"/>
                <w:szCs w:val="20"/>
              </w:rPr>
              <w:t>/Rebecca Lewis</w:t>
            </w:r>
          </w:p>
        </w:tc>
      </w:tr>
      <w:tr w:rsidR="00AC3293" w14:paraId="7817D5BC" w14:textId="77777777">
        <w:trPr>
          <w:trHeight w:val="586"/>
        </w:trPr>
        <w:tc>
          <w:tcPr>
            <w:tcW w:w="4473" w:type="dxa"/>
            <w:gridSpan w:val="2"/>
            <w:vAlign w:val="center"/>
          </w:tcPr>
          <w:p w14:paraId="35F90A21" w14:textId="77777777" w:rsidR="00AC3293" w:rsidRDefault="007A7D9E">
            <w:pPr>
              <w:rPr>
                <w:rFonts w:ascii="Century Gothic" w:eastAsia="Century Gothic" w:hAnsi="Century Gothic" w:cs="Century Gothic"/>
                <w:b/>
                <w:sz w:val="20"/>
                <w:szCs w:val="20"/>
              </w:rPr>
            </w:pPr>
            <w:r>
              <w:rPr>
                <w:rFonts w:ascii="Century Gothic" w:eastAsia="Century Gothic" w:hAnsi="Century Gothic" w:cs="Century Gothic"/>
                <w:b/>
                <w:sz w:val="20"/>
                <w:szCs w:val="20"/>
              </w:rPr>
              <w:t>Responsible Person</w:t>
            </w:r>
          </w:p>
          <w:p w14:paraId="2E065806" w14:textId="77777777" w:rsidR="00AC3293" w:rsidRDefault="007A7D9E">
            <w:pPr>
              <w:rPr>
                <w:rFonts w:ascii="Century Gothic" w:eastAsia="Century Gothic" w:hAnsi="Century Gothic" w:cs="Century Gothic"/>
              </w:rPr>
            </w:pPr>
            <w:r>
              <w:rPr>
                <w:rFonts w:ascii="Century Gothic" w:eastAsia="Century Gothic" w:hAnsi="Century Gothic" w:cs="Century Gothic"/>
                <w:sz w:val="16"/>
                <w:szCs w:val="16"/>
              </w:rPr>
              <w:t>(if different to Policy / Procedure Owner)</w:t>
            </w:r>
          </w:p>
          <w:p w14:paraId="446BB552" w14:textId="77777777" w:rsidR="00AC3293" w:rsidRDefault="007A7D9E">
            <w:pPr>
              <w:rPr>
                <w:rFonts w:ascii="Century Gothic" w:eastAsia="Century Gothic" w:hAnsi="Century Gothic" w:cs="Century Gothic"/>
                <w:sz w:val="20"/>
                <w:szCs w:val="20"/>
              </w:rPr>
            </w:pPr>
            <w:r>
              <w:rPr>
                <w:rFonts w:ascii="Century Gothic" w:eastAsia="Century Gothic" w:hAnsi="Century Gothic" w:cs="Century Gothic"/>
                <w:sz w:val="14"/>
                <w:szCs w:val="14"/>
              </w:rPr>
              <w:t>*This person has responsibility for maintaining document, communicating changes and staff training where appropriate</w:t>
            </w:r>
          </w:p>
        </w:tc>
        <w:tc>
          <w:tcPr>
            <w:tcW w:w="4543" w:type="dxa"/>
            <w:gridSpan w:val="2"/>
            <w:tcBorders>
              <w:bottom w:val="single" w:sz="4" w:space="0" w:color="000000"/>
            </w:tcBorders>
            <w:vAlign w:val="center"/>
          </w:tcPr>
          <w:p w14:paraId="7317EE24" w14:textId="0263A73A" w:rsidR="00AC3293" w:rsidRDefault="00AA106B">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Welfare Manager/Dave Butcher</w:t>
            </w:r>
          </w:p>
        </w:tc>
      </w:tr>
      <w:tr w:rsidR="00AC3293" w14:paraId="191CC545" w14:textId="77777777">
        <w:trPr>
          <w:trHeight w:val="1100"/>
        </w:trPr>
        <w:tc>
          <w:tcPr>
            <w:tcW w:w="4473" w:type="dxa"/>
            <w:gridSpan w:val="2"/>
            <w:vAlign w:val="center"/>
          </w:tcPr>
          <w:p w14:paraId="456F7479" w14:textId="77777777" w:rsidR="00AC3293" w:rsidRDefault="00AC3293">
            <w:pPr>
              <w:rPr>
                <w:rFonts w:ascii="Century Gothic" w:eastAsia="Century Gothic" w:hAnsi="Century Gothic" w:cs="Century Gothic"/>
                <w:b/>
                <w:sz w:val="20"/>
                <w:szCs w:val="20"/>
              </w:rPr>
            </w:pPr>
          </w:p>
        </w:tc>
        <w:tc>
          <w:tcPr>
            <w:tcW w:w="2020" w:type="dxa"/>
            <w:tcBorders>
              <w:right w:val="nil"/>
            </w:tcBorders>
            <w:vAlign w:val="center"/>
          </w:tcPr>
          <w:p w14:paraId="5FD42471" w14:textId="77777777" w:rsidR="00AC3293" w:rsidRDefault="00AC3293">
            <w:pPr>
              <w:rPr>
                <w:rFonts w:ascii="Century Gothic" w:eastAsia="Century Gothic" w:hAnsi="Century Gothic" w:cs="Century Gothic"/>
                <w:sz w:val="20"/>
                <w:szCs w:val="20"/>
              </w:rPr>
            </w:pPr>
          </w:p>
        </w:tc>
        <w:tc>
          <w:tcPr>
            <w:tcW w:w="2523" w:type="dxa"/>
            <w:tcBorders>
              <w:left w:val="nil"/>
            </w:tcBorders>
            <w:vAlign w:val="center"/>
          </w:tcPr>
          <w:p w14:paraId="6886DEC3" w14:textId="77777777" w:rsidR="00AC3293" w:rsidRDefault="00AC3293">
            <w:pPr>
              <w:rPr>
                <w:rFonts w:ascii="Century Gothic" w:eastAsia="Century Gothic" w:hAnsi="Century Gothic" w:cs="Century Gothic"/>
              </w:rPr>
            </w:pPr>
          </w:p>
        </w:tc>
      </w:tr>
      <w:tr w:rsidR="00AC3293" w14:paraId="4FC1811F" w14:textId="77777777">
        <w:trPr>
          <w:trHeight w:val="578"/>
        </w:trPr>
        <w:tc>
          <w:tcPr>
            <w:tcW w:w="9016" w:type="dxa"/>
            <w:gridSpan w:val="4"/>
            <w:vAlign w:val="center"/>
          </w:tcPr>
          <w:p w14:paraId="7FC8A727" w14:textId="77777777" w:rsidR="00AC3293" w:rsidRDefault="007A7D9E">
            <w:pPr>
              <w:rPr>
                <w:rFonts w:ascii="Century Gothic" w:eastAsia="Century Gothic" w:hAnsi="Century Gothic" w:cs="Century Gothic"/>
                <w:b/>
                <w:sz w:val="20"/>
                <w:szCs w:val="20"/>
              </w:rPr>
            </w:pPr>
            <w:r>
              <w:rPr>
                <w:rFonts w:ascii="Century Gothic" w:eastAsia="Century Gothic" w:hAnsi="Century Gothic" w:cs="Century Gothic"/>
                <w:b/>
                <w:sz w:val="20"/>
                <w:szCs w:val="20"/>
              </w:rPr>
              <w:t>Revision record</w:t>
            </w:r>
          </w:p>
        </w:tc>
      </w:tr>
      <w:tr w:rsidR="00AC3293" w14:paraId="58FEDB63" w14:textId="77777777">
        <w:trPr>
          <w:trHeight w:val="578"/>
        </w:trPr>
        <w:tc>
          <w:tcPr>
            <w:tcW w:w="1314" w:type="dxa"/>
            <w:vAlign w:val="center"/>
          </w:tcPr>
          <w:p w14:paraId="4D836923" w14:textId="77777777" w:rsidR="00AC3293" w:rsidRDefault="007A7D9E">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Revision No.</w:t>
            </w:r>
          </w:p>
        </w:tc>
        <w:tc>
          <w:tcPr>
            <w:tcW w:w="3159" w:type="dxa"/>
            <w:vAlign w:val="center"/>
          </w:tcPr>
          <w:p w14:paraId="45654C9D" w14:textId="77777777" w:rsidR="00AC3293" w:rsidRDefault="007A7D9E">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Date of Issue</w:t>
            </w:r>
          </w:p>
        </w:tc>
        <w:tc>
          <w:tcPr>
            <w:tcW w:w="4543" w:type="dxa"/>
            <w:gridSpan w:val="2"/>
            <w:vAlign w:val="center"/>
          </w:tcPr>
          <w:p w14:paraId="5A390843" w14:textId="77777777" w:rsidR="00AC3293" w:rsidRDefault="007A7D9E">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Reason for Revision</w:t>
            </w:r>
          </w:p>
        </w:tc>
      </w:tr>
      <w:tr w:rsidR="00AC3293" w14:paraId="7ACA4A28" w14:textId="77777777">
        <w:trPr>
          <w:trHeight w:val="578"/>
        </w:trPr>
        <w:tc>
          <w:tcPr>
            <w:tcW w:w="1314" w:type="dxa"/>
            <w:vAlign w:val="center"/>
          </w:tcPr>
          <w:p w14:paraId="44335821" w14:textId="77777777" w:rsidR="00AC3293" w:rsidRDefault="00AC3293">
            <w:pPr>
              <w:jc w:val="center"/>
              <w:rPr>
                <w:rFonts w:ascii="Century Gothic" w:eastAsia="Century Gothic" w:hAnsi="Century Gothic" w:cs="Century Gothic"/>
                <w:sz w:val="20"/>
                <w:szCs w:val="20"/>
              </w:rPr>
            </w:pPr>
          </w:p>
        </w:tc>
        <w:tc>
          <w:tcPr>
            <w:tcW w:w="3159" w:type="dxa"/>
            <w:vAlign w:val="center"/>
          </w:tcPr>
          <w:p w14:paraId="00C8CACD" w14:textId="77777777" w:rsidR="00AC3293" w:rsidRDefault="00AC3293">
            <w:pPr>
              <w:jc w:val="center"/>
              <w:rPr>
                <w:rFonts w:ascii="Century Gothic" w:eastAsia="Century Gothic" w:hAnsi="Century Gothic" w:cs="Century Gothic"/>
                <w:sz w:val="20"/>
                <w:szCs w:val="20"/>
              </w:rPr>
            </w:pPr>
          </w:p>
        </w:tc>
        <w:tc>
          <w:tcPr>
            <w:tcW w:w="4543" w:type="dxa"/>
            <w:gridSpan w:val="2"/>
            <w:vAlign w:val="center"/>
          </w:tcPr>
          <w:p w14:paraId="3218C1A9" w14:textId="77777777" w:rsidR="00AC3293" w:rsidRDefault="00AC3293">
            <w:pPr>
              <w:jc w:val="center"/>
              <w:rPr>
                <w:rFonts w:ascii="Century Gothic" w:eastAsia="Century Gothic" w:hAnsi="Century Gothic" w:cs="Century Gothic"/>
                <w:sz w:val="20"/>
                <w:szCs w:val="20"/>
              </w:rPr>
            </w:pPr>
          </w:p>
        </w:tc>
      </w:tr>
      <w:tr w:rsidR="00AC3293" w14:paraId="21E3EC47" w14:textId="77777777">
        <w:trPr>
          <w:trHeight w:val="578"/>
        </w:trPr>
        <w:tc>
          <w:tcPr>
            <w:tcW w:w="1314" w:type="dxa"/>
            <w:vAlign w:val="center"/>
          </w:tcPr>
          <w:p w14:paraId="3D8BDD1A" w14:textId="77777777" w:rsidR="00AC3293" w:rsidRDefault="00AC3293">
            <w:pPr>
              <w:jc w:val="center"/>
              <w:rPr>
                <w:rFonts w:ascii="Century Gothic" w:eastAsia="Century Gothic" w:hAnsi="Century Gothic" w:cs="Century Gothic"/>
                <w:b/>
              </w:rPr>
            </w:pPr>
          </w:p>
        </w:tc>
        <w:tc>
          <w:tcPr>
            <w:tcW w:w="3159" w:type="dxa"/>
            <w:vAlign w:val="center"/>
          </w:tcPr>
          <w:p w14:paraId="39ADF45B" w14:textId="77777777" w:rsidR="00AC3293" w:rsidRDefault="00AC3293">
            <w:pPr>
              <w:jc w:val="center"/>
              <w:rPr>
                <w:rFonts w:ascii="Century Gothic" w:eastAsia="Century Gothic" w:hAnsi="Century Gothic" w:cs="Century Gothic"/>
                <w:b/>
              </w:rPr>
            </w:pPr>
          </w:p>
        </w:tc>
        <w:tc>
          <w:tcPr>
            <w:tcW w:w="4543" w:type="dxa"/>
            <w:gridSpan w:val="2"/>
            <w:vAlign w:val="center"/>
          </w:tcPr>
          <w:p w14:paraId="61840C97" w14:textId="77777777" w:rsidR="00AC3293" w:rsidRDefault="00AC3293">
            <w:pPr>
              <w:jc w:val="center"/>
              <w:rPr>
                <w:rFonts w:ascii="Century Gothic" w:eastAsia="Century Gothic" w:hAnsi="Century Gothic" w:cs="Century Gothic"/>
                <w:b/>
              </w:rPr>
            </w:pPr>
          </w:p>
        </w:tc>
      </w:tr>
    </w:tbl>
    <w:p w14:paraId="3FEC1717" w14:textId="77777777" w:rsidR="00AC3293" w:rsidRDefault="00AC3293">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p w14:paraId="5F3EA924" w14:textId="77777777" w:rsidR="00AC3293" w:rsidRDefault="00AC3293">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p w14:paraId="01EBB77A" w14:textId="77777777" w:rsidR="00AC3293" w:rsidRDefault="007A7D9E">
      <w:pPr>
        <w:pBdr>
          <w:top w:val="nil"/>
          <w:left w:val="nil"/>
          <w:bottom w:val="nil"/>
          <w:right w:val="nil"/>
          <w:between w:val="nil"/>
        </w:pBdr>
        <w:spacing w:after="0" w:line="240" w:lineRule="auto"/>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Equality, Diversity and Inclusion Statement</w:t>
      </w:r>
    </w:p>
    <w:p w14:paraId="4AEA7E4A" w14:textId="77777777" w:rsidR="00AC3293" w:rsidRDefault="00AC3293">
      <w:pPr>
        <w:pBdr>
          <w:top w:val="nil"/>
          <w:left w:val="nil"/>
          <w:bottom w:val="nil"/>
          <w:right w:val="nil"/>
          <w:between w:val="nil"/>
        </w:pBdr>
        <w:spacing w:after="0" w:line="240" w:lineRule="auto"/>
        <w:rPr>
          <w:rFonts w:ascii="Century Gothic" w:eastAsia="Century Gothic" w:hAnsi="Century Gothic" w:cs="Century Gothic"/>
          <w:b/>
          <w:color w:val="000000"/>
          <w:sz w:val="18"/>
          <w:szCs w:val="18"/>
        </w:rPr>
      </w:pPr>
    </w:p>
    <w:p w14:paraId="20FBB4DA" w14:textId="77777777" w:rsidR="00AC3293" w:rsidRDefault="007A7D9E">
      <w:p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This policy has been developed and reviewed in line with the Equality Act (2010) which recognised the following categories of individual as protected characteristics: </w:t>
      </w:r>
    </w:p>
    <w:p w14:paraId="7355E31D" w14:textId="77777777" w:rsidR="00AC3293" w:rsidRDefault="00AC3293">
      <w:p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p>
    <w:p w14:paraId="40F6BA29" w14:textId="77777777" w:rsidR="00AC3293" w:rsidRDefault="007A7D9E">
      <w:p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Age, Gender Reassignment, Marriage and Civil Partnership, Pregnancy and Maternity, Race, Religion and Belief, Sex (gender), Sexual Orientation and Disability. </w:t>
      </w:r>
    </w:p>
    <w:p w14:paraId="54507CA7" w14:textId="77777777" w:rsidR="00AC3293" w:rsidRDefault="00AC3293">
      <w:p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p>
    <w:p w14:paraId="2ECAF0A1" w14:textId="77777777" w:rsidR="00AC3293" w:rsidRDefault="007A7D9E">
      <w:p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This document will be continuously monitored to ensure that it allows equal access and does not discriminate against any individual or groups of people.</w:t>
      </w:r>
    </w:p>
    <w:p w14:paraId="3A7E21C9" w14:textId="77777777" w:rsidR="00AC3293" w:rsidRDefault="00AC3293">
      <w:pPr>
        <w:pBdr>
          <w:top w:val="nil"/>
          <w:left w:val="nil"/>
          <w:bottom w:val="nil"/>
          <w:right w:val="nil"/>
          <w:between w:val="nil"/>
        </w:pBdr>
        <w:spacing w:after="0" w:line="240" w:lineRule="auto"/>
        <w:rPr>
          <w:rFonts w:ascii="Century Gothic" w:eastAsia="Century Gothic" w:hAnsi="Century Gothic" w:cs="Century Gothic"/>
          <w:color w:val="000000"/>
          <w:sz w:val="18"/>
          <w:szCs w:val="18"/>
        </w:rPr>
      </w:pPr>
    </w:p>
    <w:p w14:paraId="13E2F8EF" w14:textId="77777777" w:rsidR="00AC3293" w:rsidRDefault="00AC3293">
      <w:pPr>
        <w:pBdr>
          <w:top w:val="nil"/>
          <w:left w:val="nil"/>
          <w:bottom w:val="nil"/>
          <w:right w:val="nil"/>
          <w:between w:val="nil"/>
        </w:pBdr>
        <w:spacing w:after="0" w:line="240" w:lineRule="auto"/>
        <w:rPr>
          <w:rFonts w:ascii="Helvetica Neue" w:eastAsia="Helvetica Neue" w:hAnsi="Helvetica Neue" w:cs="Helvetica Neue"/>
          <w:color w:val="000000"/>
          <w:sz w:val="18"/>
          <w:szCs w:val="18"/>
        </w:rPr>
      </w:pPr>
    </w:p>
    <w:p w14:paraId="0574A54C" w14:textId="77777777" w:rsidR="00AC3293" w:rsidRDefault="00AC3293">
      <w:pPr>
        <w:pBdr>
          <w:top w:val="nil"/>
          <w:left w:val="nil"/>
          <w:bottom w:val="nil"/>
          <w:right w:val="nil"/>
          <w:between w:val="nil"/>
        </w:pBdr>
        <w:spacing w:after="0" w:line="240" w:lineRule="auto"/>
        <w:jc w:val="center"/>
        <w:rPr>
          <w:rFonts w:ascii="Helvetica Neue" w:eastAsia="Helvetica Neue" w:hAnsi="Helvetica Neue" w:cs="Helvetica Neue"/>
          <w:color w:val="000000"/>
          <w:sz w:val="18"/>
          <w:szCs w:val="18"/>
        </w:rPr>
      </w:pPr>
    </w:p>
    <w:p w14:paraId="66F5F820" w14:textId="77777777" w:rsidR="00AC3293" w:rsidRDefault="00AC3293">
      <w:pPr>
        <w:rPr>
          <w:rFonts w:ascii="Helvetica Neue" w:eastAsia="Helvetica Neue" w:hAnsi="Helvetica Neue" w:cs="Helvetica Neue"/>
          <w:b/>
        </w:rPr>
      </w:pPr>
    </w:p>
    <w:p w14:paraId="053CC137" w14:textId="77777777" w:rsidR="00AC3293" w:rsidRDefault="00AC3293">
      <w:pPr>
        <w:rPr>
          <w:rFonts w:ascii="Helvetica Neue" w:eastAsia="Helvetica Neue" w:hAnsi="Helvetica Neue" w:cs="Helvetica Neue"/>
          <w:b/>
        </w:rPr>
      </w:pPr>
    </w:p>
    <w:p w14:paraId="06CD0971" w14:textId="77777777" w:rsidR="00AC3293" w:rsidRDefault="00AC3293">
      <w:pPr>
        <w:rPr>
          <w:rFonts w:ascii="Helvetica Neue" w:eastAsia="Helvetica Neue" w:hAnsi="Helvetica Neue" w:cs="Helvetica Neue"/>
          <w:b/>
        </w:rPr>
      </w:pPr>
    </w:p>
    <w:p w14:paraId="02EFD8D8" w14:textId="77777777" w:rsidR="00AC3293" w:rsidRDefault="007A7D9E">
      <w:pPr>
        <w:keepNext/>
        <w:keepLines/>
        <w:pBdr>
          <w:top w:val="nil"/>
          <w:left w:val="nil"/>
          <w:bottom w:val="nil"/>
          <w:right w:val="nil"/>
          <w:between w:val="nil"/>
        </w:pBdr>
        <w:spacing w:before="240" w:after="0"/>
        <w:rPr>
          <w:color w:val="2F5496"/>
          <w:sz w:val="32"/>
          <w:szCs w:val="32"/>
        </w:rPr>
      </w:pPr>
      <w:r>
        <w:rPr>
          <w:color w:val="2F5496"/>
          <w:sz w:val="32"/>
          <w:szCs w:val="32"/>
        </w:rPr>
        <w:t>Contents</w:t>
      </w:r>
    </w:p>
    <w:p w14:paraId="465E9110" w14:textId="77777777" w:rsidR="00AC3293" w:rsidRDefault="00AC3293"/>
    <w:sdt>
      <w:sdtPr>
        <w:id w:val="660893629"/>
        <w:docPartObj>
          <w:docPartGallery w:val="Table of Contents"/>
          <w:docPartUnique/>
        </w:docPartObj>
      </w:sdtPr>
      <w:sdtEndPr/>
      <w:sdtContent>
        <w:p w14:paraId="34EFEE4E" w14:textId="77777777" w:rsidR="00AC3293" w:rsidRDefault="007A7D9E">
          <w:pPr>
            <w:pBdr>
              <w:top w:val="nil"/>
              <w:left w:val="nil"/>
              <w:bottom w:val="nil"/>
              <w:right w:val="nil"/>
              <w:between w:val="nil"/>
            </w:pBdr>
            <w:tabs>
              <w:tab w:val="left" w:pos="440"/>
              <w:tab w:val="right" w:leader="dot" w:pos="9016"/>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1.</w:t>
            </w:r>
            <w:r>
              <w:rPr>
                <w:color w:val="000000"/>
              </w:rPr>
              <w:tab/>
              <w:t>Introduction &amp; Legal Framework</w:t>
            </w:r>
            <w:r>
              <w:rPr>
                <w:color w:val="000000"/>
              </w:rPr>
              <w:tab/>
              <w:t>3</w:t>
            </w:r>
          </w:hyperlink>
        </w:p>
        <w:p w14:paraId="7395E87F" w14:textId="77777777" w:rsidR="00AC3293" w:rsidRDefault="007A7D9E">
          <w:pPr>
            <w:pBdr>
              <w:top w:val="nil"/>
              <w:left w:val="nil"/>
              <w:bottom w:val="nil"/>
              <w:right w:val="nil"/>
              <w:between w:val="nil"/>
            </w:pBdr>
            <w:tabs>
              <w:tab w:val="left" w:pos="440"/>
              <w:tab w:val="right" w:leader="dot" w:pos="9016"/>
            </w:tabs>
            <w:spacing w:after="100"/>
            <w:rPr>
              <w:color w:val="000000"/>
            </w:rPr>
          </w:pPr>
          <w:hyperlink w:anchor="_heading=h.1fob9te">
            <w:r>
              <w:rPr>
                <w:color w:val="000000"/>
              </w:rPr>
              <w:t>2.</w:t>
            </w:r>
            <w:r>
              <w:rPr>
                <w:color w:val="000000"/>
              </w:rPr>
              <w:tab/>
              <w:t>What is an exclusion ?</w:t>
            </w:r>
            <w:r>
              <w:rPr>
                <w:color w:val="000000"/>
              </w:rPr>
              <w:tab/>
              <w:t>3</w:t>
            </w:r>
          </w:hyperlink>
        </w:p>
        <w:p w14:paraId="590538E3" w14:textId="77777777" w:rsidR="00AC3293" w:rsidRDefault="007A7D9E">
          <w:pPr>
            <w:pBdr>
              <w:top w:val="nil"/>
              <w:left w:val="nil"/>
              <w:bottom w:val="nil"/>
              <w:right w:val="nil"/>
              <w:between w:val="nil"/>
            </w:pBdr>
            <w:tabs>
              <w:tab w:val="left" w:pos="440"/>
              <w:tab w:val="right" w:leader="dot" w:pos="9016"/>
            </w:tabs>
            <w:spacing w:after="100"/>
            <w:rPr>
              <w:color w:val="000000"/>
            </w:rPr>
          </w:pPr>
          <w:hyperlink w:anchor="_heading=h.3znysh7">
            <w:r>
              <w:rPr>
                <w:color w:val="000000"/>
              </w:rPr>
              <w:t>3.</w:t>
            </w:r>
            <w:r>
              <w:rPr>
                <w:color w:val="000000"/>
              </w:rPr>
              <w:tab/>
              <w:t>Suspensions</w:t>
            </w:r>
            <w:r>
              <w:rPr>
                <w:color w:val="000000"/>
              </w:rPr>
              <w:tab/>
              <w:t>4</w:t>
            </w:r>
          </w:hyperlink>
        </w:p>
        <w:p w14:paraId="386433E8" w14:textId="77777777" w:rsidR="00AC3293" w:rsidRDefault="007A7D9E">
          <w:pPr>
            <w:pBdr>
              <w:top w:val="nil"/>
              <w:left w:val="nil"/>
              <w:bottom w:val="nil"/>
              <w:right w:val="nil"/>
              <w:between w:val="nil"/>
            </w:pBdr>
            <w:tabs>
              <w:tab w:val="left" w:pos="440"/>
              <w:tab w:val="right" w:leader="dot" w:pos="9016"/>
            </w:tabs>
            <w:spacing w:after="100"/>
            <w:rPr>
              <w:color w:val="000000"/>
            </w:rPr>
          </w:pPr>
          <w:hyperlink w:anchor="_heading=h.2et92p0">
            <w:r>
              <w:rPr>
                <w:color w:val="000000"/>
              </w:rPr>
              <w:t>4.</w:t>
            </w:r>
            <w:r>
              <w:rPr>
                <w:color w:val="000000"/>
              </w:rPr>
              <w:tab/>
              <w:t>Exclusions</w:t>
            </w:r>
            <w:r>
              <w:rPr>
                <w:color w:val="000000"/>
              </w:rPr>
              <w:tab/>
              <w:t>5</w:t>
            </w:r>
          </w:hyperlink>
        </w:p>
        <w:p w14:paraId="77282425" w14:textId="77777777" w:rsidR="00AC3293" w:rsidRDefault="007A7D9E">
          <w:pPr>
            <w:pBdr>
              <w:top w:val="nil"/>
              <w:left w:val="nil"/>
              <w:bottom w:val="nil"/>
              <w:right w:val="nil"/>
              <w:between w:val="nil"/>
            </w:pBdr>
            <w:tabs>
              <w:tab w:val="left" w:pos="440"/>
              <w:tab w:val="right" w:leader="dot" w:pos="9016"/>
            </w:tabs>
            <w:spacing w:after="100"/>
            <w:rPr>
              <w:color w:val="000000"/>
            </w:rPr>
          </w:pPr>
          <w:hyperlink w:anchor="_heading=h.tyjcwt">
            <w:r>
              <w:rPr>
                <w:color w:val="000000"/>
              </w:rPr>
              <w:t>5.</w:t>
            </w:r>
            <w:r>
              <w:rPr>
                <w:color w:val="000000"/>
              </w:rPr>
              <w:tab/>
              <w:t>Cancelling Exclusions</w:t>
            </w:r>
            <w:r>
              <w:rPr>
                <w:color w:val="000000"/>
              </w:rPr>
              <w:tab/>
              <w:t>7</w:t>
            </w:r>
          </w:hyperlink>
        </w:p>
        <w:p w14:paraId="59FF899D" w14:textId="77777777" w:rsidR="00AC3293" w:rsidRDefault="007A7D9E">
          <w:pPr>
            <w:pBdr>
              <w:top w:val="nil"/>
              <w:left w:val="nil"/>
              <w:bottom w:val="nil"/>
              <w:right w:val="nil"/>
              <w:between w:val="nil"/>
            </w:pBdr>
            <w:tabs>
              <w:tab w:val="left" w:pos="440"/>
              <w:tab w:val="right" w:leader="dot" w:pos="9016"/>
            </w:tabs>
            <w:spacing w:after="100"/>
            <w:rPr>
              <w:color w:val="000000"/>
            </w:rPr>
          </w:pPr>
          <w:hyperlink w:anchor="_heading=h.3dy6vkm">
            <w:r>
              <w:rPr>
                <w:color w:val="000000"/>
              </w:rPr>
              <w:t>6.</w:t>
            </w:r>
            <w:r>
              <w:rPr>
                <w:color w:val="000000"/>
              </w:rPr>
              <w:tab/>
              <w:t>The Role of the Proprietor</w:t>
            </w:r>
            <w:r>
              <w:rPr>
                <w:color w:val="000000"/>
              </w:rPr>
              <w:tab/>
              <w:t>7</w:t>
            </w:r>
          </w:hyperlink>
        </w:p>
        <w:p w14:paraId="3B4F34B6" w14:textId="77777777" w:rsidR="00AC3293" w:rsidRDefault="007A7D9E">
          <w:pPr>
            <w:pBdr>
              <w:top w:val="nil"/>
              <w:left w:val="nil"/>
              <w:bottom w:val="nil"/>
              <w:right w:val="nil"/>
              <w:between w:val="nil"/>
            </w:pBdr>
            <w:tabs>
              <w:tab w:val="left" w:pos="440"/>
              <w:tab w:val="right" w:leader="dot" w:pos="9016"/>
            </w:tabs>
            <w:spacing w:after="100"/>
            <w:rPr>
              <w:color w:val="000000"/>
            </w:rPr>
          </w:pPr>
          <w:hyperlink w:anchor="_heading=h.1t3h5sf">
            <w:r>
              <w:rPr>
                <w:color w:val="000000"/>
              </w:rPr>
              <w:t>7.</w:t>
            </w:r>
            <w:r>
              <w:rPr>
                <w:color w:val="000000"/>
              </w:rPr>
              <w:tab/>
              <w:t>Independent Review Panel</w:t>
            </w:r>
            <w:r>
              <w:rPr>
                <w:color w:val="000000"/>
              </w:rPr>
              <w:tab/>
              <w:t>8</w:t>
            </w:r>
          </w:hyperlink>
        </w:p>
        <w:p w14:paraId="68A5FA70" w14:textId="77777777" w:rsidR="00AC3293" w:rsidRDefault="007A7D9E">
          <w:pPr>
            <w:rPr>
              <w:b/>
            </w:rPr>
          </w:pPr>
          <w:r>
            <w:fldChar w:fldCharType="end"/>
          </w:r>
        </w:p>
      </w:sdtContent>
    </w:sdt>
    <w:p w14:paraId="4285901A" w14:textId="77777777" w:rsidR="00AC3293" w:rsidRDefault="00AC3293">
      <w:pPr>
        <w:rPr>
          <w:b/>
        </w:rPr>
      </w:pPr>
    </w:p>
    <w:p w14:paraId="18F60120" w14:textId="77777777" w:rsidR="00AC3293" w:rsidRDefault="00AC3293">
      <w:pPr>
        <w:rPr>
          <w:b/>
        </w:rPr>
      </w:pPr>
    </w:p>
    <w:p w14:paraId="3095EDA3" w14:textId="77777777" w:rsidR="00AC3293" w:rsidRDefault="00AC3293">
      <w:pPr>
        <w:rPr>
          <w:b/>
        </w:rPr>
      </w:pPr>
    </w:p>
    <w:p w14:paraId="02CA44DC" w14:textId="77777777" w:rsidR="00AC3293" w:rsidRDefault="00AC3293">
      <w:pPr>
        <w:rPr>
          <w:b/>
        </w:rPr>
      </w:pPr>
    </w:p>
    <w:p w14:paraId="24C059B4" w14:textId="77777777" w:rsidR="00AC3293" w:rsidRDefault="00AC3293">
      <w:pPr>
        <w:rPr>
          <w:b/>
        </w:rPr>
      </w:pPr>
    </w:p>
    <w:p w14:paraId="023E2790" w14:textId="77777777" w:rsidR="00AC3293" w:rsidRDefault="00AC3293">
      <w:pPr>
        <w:rPr>
          <w:b/>
        </w:rPr>
      </w:pPr>
    </w:p>
    <w:p w14:paraId="25806946" w14:textId="77777777" w:rsidR="00AC3293" w:rsidRDefault="00AC3293">
      <w:pPr>
        <w:rPr>
          <w:b/>
        </w:rPr>
      </w:pPr>
    </w:p>
    <w:p w14:paraId="4A53717B" w14:textId="77777777" w:rsidR="00AC3293" w:rsidRDefault="00AC3293">
      <w:pPr>
        <w:pStyle w:val="Heading1"/>
      </w:pPr>
    </w:p>
    <w:p w14:paraId="7E355E5C" w14:textId="77777777" w:rsidR="00AC3293" w:rsidRDefault="00AC3293"/>
    <w:p w14:paraId="6071F817" w14:textId="77777777" w:rsidR="00AC3293" w:rsidRDefault="00AC3293"/>
    <w:p w14:paraId="0F477030" w14:textId="77777777" w:rsidR="00AC3293" w:rsidRDefault="00AC3293"/>
    <w:p w14:paraId="42A78F25" w14:textId="77777777" w:rsidR="00AC3293" w:rsidRDefault="00AC3293"/>
    <w:p w14:paraId="312B50A4" w14:textId="77777777" w:rsidR="00AC3293" w:rsidRDefault="00AC3293"/>
    <w:p w14:paraId="65C16104" w14:textId="77777777" w:rsidR="00AC3293" w:rsidRDefault="00AC3293"/>
    <w:p w14:paraId="46B3D48F" w14:textId="77777777" w:rsidR="00AC3293" w:rsidRDefault="00AC3293"/>
    <w:p w14:paraId="7BEE4052" w14:textId="77777777" w:rsidR="00AC3293" w:rsidRDefault="00AC3293"/>
    <w:p w14:paraId="7E2689D7" w14:textId="77777777" w:rsidR="00AC3293" w:rsidRDefault="00AC3293"/>
    <w:p w14:paraId="2782E748" w14:textId="77777777" w:rsidR="00AC3293" w:rsidRDefault="00AC3293"/>
    <w:p w14:paraId="63EF7777" w14:textId="77777777" w:rsidR="00AC3293" w:rsidRDefault="007A7D9E">
      <w:pPr>
        <w:pStyle w:val="Heading1"/>
        <w:numPr>
          <w:ilvl w:val="0"/>
          <w:numId w:val="2"/>
        </w:numPr>
      </w:pPr>
      <w:bookmarkStart w:id="0" w:name="_heading=h.gjdgxs" w:colFirst="0" w:colLast="0"/>
      <w:bookmarkEnd w:id="0"/>
      <w:r>
        <w:t>Introduction &amp; Legal Framework</w:t>
      </w:r>
    </w:p>
    <w:p w14:paraId="74C706EA" w14:textId="77777777" w:rsidR="00AC3293" w:rsidRDefault="00AC3293"/>
    <w:p w14:paraId="1261346C" w14:textId="77777777" w:rsidR="00AC3293" w:rsidRDefault="007A7D9E">
      <w:pPr>
        <w:spacing w:after="0" w:line="240" w:lineRule="auto"/>
        <w:rPr>
          <w:rFonts w:ascii="Century Gothic" w:eastAsia="Century Gothic" w:hAnsi="Century Gothic" w:cs="Century Gothic"/>
        </w:rPr>
      </w:pPr>
      <w:r>
        <w:rPr>
          <w:rFonts w:ascii="Century Gothic" w:eastAsia="Century Gothic" w:hAnsi="Century Gothic" w:cs="Century Gothic"/>
        </w:rPr>
        <w:t xml:space="preserve">Sometimes a pupil’s behaviour will lead to a period of suspension from school or a permanent exclusion will sometimes be necessary </w:t>
      </w:r>
      <w:r>
        <w:rPr>
          <w:rFonts w:ascii="Century Gothic" w:eastAsia="Century Gothic" w:hAnsi="Century Gothic" w:cs="Century Gothic"/>
          <w:b/>
        </w:rPr>
        <w:t>as a last resort</w:t>
      </w:r>
      <w:r>
        <w:rPr>
          <w:rFonts w:ascii="Century Gothic" w:eastAsia="Century Gothic" w:hAnsi="Century Gothic" w:cs="Century Gothic"/>
        </w:rPr>
        <w:t xml:space="preserve">. This is to ensure that other pupils and teaching staff are protected from disruption and can learn in safe, calm and supportive environments. Huntingdon House School conforms to the Department of Education Guidance entitled ‘Statutory Guidance on Suspensions and Exclusions (July 2022) when making decisions on suspensions and exclusions. A copy of this document can be downloaded from the Department of Educational </w:t>
      </w:r>
      <w:proofErr w:type="gramStart"/>
      <w:r>
        <w:rPr>
          <w:rFonts w:ascii="Century Gothic" w:eastAsia="Century Gothic" w:hAnsi="Century Gothic" w:cs="Century Gothic"/>
        </w:rPr>
        <w:t>website:-</w:t>
      </w:r>
      <w:proofErr w:type="gramEnd"/>
      <w:r>
        <w:rPr>
          <w:rFonts w:ascii="Century Gothic" w:eastAsia="Century Gothic" w:hAnsi="Century Gothic" w:cs="Century Gothic"/>
        </w:rPr>
        <w:t xml:space="preserve"> https://www.gov.uk/government/publications/school-exclusion Our Exclusion Policy should be read in context with the schools Behaviour policy and SEND policy. Legal and Regulatory Framework This policy is compliant with the following legislation and statutory guidance: </w:t>
      </w:r>
    </w:p>
    <w:p w14:paraId="3624DEFD" w14:textId="77777777" w:rsidR="00AC3293" w:rsidRDefault="00AC3293">
      <w:pPr>
        <w:spacing w:after="0" w:line="240" w:lineRule="auto"/>
        <w:rPr>
          <w:rFonts w:ascii="Century Gothic" w:eastAsia="Century Gothic" w:hAnsi="Century Gothic" w:cs="Century Gothic"/>
        </w:rPr>
      </w:pPr>
    </w:p>
    <w:p w14:paraId="3F8B5BE3" w14:textId="77777777" w:rsidR="00AC3293" w:rsidRDefault="007A7D9E">
      <w:pPr>
        <w:numPr>
          <w:ilvl w:val="1"/>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 Education Act 2002, as amended by the Education Act 2011; </w:t>
      </w:r>
    </w:p>
    <w:p w14:paraId="6050F458" w14:textId="77777777" w:rsidR="00AC3293" w:rsidRDefault="007A7D9E">
      <w:pPr>
        <w:numPr>
          <w:ilvl w:val="1"/>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 School Discipline (Pupil Exclusions and Reviews) (England) Regulations 2012; </w:t>
      </w:r>
    </w:p>
    <w:p w14:paraId="1CBACEDB" w14:textId="77777777" w:rsidR="00AC3293" w:rsidRDefault="007A7D9E">
      <w:pPr>
        <w:numPr>
          <w:ilvl w:val="1"/>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 Education and Inspections Act 2006; </w:t>
      </w:r>
    </w:p>
    <w:p w14:paraId="459E56D7" w14:textId="77777777" w:rsidR="00AC3293" w:rsidRDefault="007A7D9E">
      <w:pPr>
        <w:numPr>
          <w:ilvl w:val="1"/>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 Education Act 1996; </w:t>
      </w:r>
    </w:p>
    <w:p w14:paraId="6676412E" w14:textId="77777777" w:rsidR="00AC3293" w:rsidRDefault="007A7D9E">
      <w:pPr>
        <w:numPr>
          <w:ilvl w:val="1"/>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 Education (Provision of Full-Time Education for Excluded Pupils) (England) Regulations 2007, as amended by the Education (Provision of Full-Time Education for Excluded Pupils) (England) (Amendment) Regulations 2014; </w:t>
      </w:r>
    </w:p>
    <w:p w14:paraId="61AF8210" w14:textId="77777777" w:rsidR="00AC3293" w:rsidRDefault="007A7D9E">
      <w:pPr>
        <w:numPr>
          <w:ilvl w:val="1"/>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Suspension and Permanent Exclusion from maintained schools, academies and pupil referral units in England, including pupil movement, July 2022); </w:t>
      </w:r>
    </w:p>
    <w:p w14:paraId="251D7F6C" w14:textId="77777777" w:rsidR="00AC3293" w:rsidRDefault="007A7D9E">
      <w:pPr>
        <w:numPr>
          <w:ilvl w:val="1"/>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Behaviour in Schools Advice for headteachers and school staff, July 2022.</w:t>
      </w:r>
    </w:p>
    <w:p w14:paraId="77AE2361" w14:textId="77777777" w:rsidR="00AC3293" w:rsidRDefault="007A7D9E">
      <w:pPr>
        <w:numPr>
          <w:ilvl w:val="1"/>
          <w:numId w:val="2"/>
        </w:numPr>
        <w:pBdr>
          <w:top w:val="nil"/>
          <w:left w:val="nil"/>
          <w:bottom w:val="nil"/>
          <w:right w:val="nil"/>
          <w:between w:val="nil"/>
        </w:pBdr>
        <w:spacing w:after="0" w:line="240" w:lineRule="auto"/>
      </w:pPr>
      <w:r>
        <w:rPr>
          <w:rFonts w:ascii="Century Gothic" w:eastAsia="Century Gothic" w:hAnsi="Century Gothic" w:cs="Century Gothic"/>
          <w:color w:val="000000"/>
        </w:rPr>
        <w:t>Mental Health and Behaviour in Schools, November 2018;</w:t>
      </w:r>
      <w:r>
        <w:rPr>
          <w:color w:val="000000"/>
        </w:rPr>
        <w:t xml:space="preserve"> </w:t>
      </w:r>
    </w:p>
    <w:p w14:paraId="6E903593" w14:textId="77777777" w:rsidR="00AC3293" w:rsidRDefault="00AC3293">
      <w:pPr>
        <w:spacing w:after="0" w:line="240" w:lineRule="auto"/>
      </w:pPr>
      <w:bookmarkStart w:id="1" w:name="_heading=h.30j0zll" w:colFirst="0" w:colLast="0"/>
      <w:bookmarkEnd w:id="1"/>
    </w:p>
    <w:p w14:paraId="2D6433A0" w14:textId="77777777" w:rsidR="00AC3293" w:rsidRDefault="007A7D9E">
      <w:pPr>
        <w:pStyle w:val="Heading1"/>
        <w:numPr>
          <w:ilvl w:val="0"/>
          <w:numId w:val="2"/>
        </w:numPr>
        <w:jc w:val="both"/>
      </w:pPr>
      <w:bookmarkStart w:id="2" w:name="_heading=h.1fob9te" w:colFirst="0" w:colLast="0"/>
      <w:bookmarkEnd w:id="2"/>
      <w:r>
        <w:t xml:space="preserve">What is an </w:t>
      </w:r>
      <w:proofErr w:type="gramStart"/>
      <w:r>
        <w:t>exclusion ?</w:t>
      </w:r>
      <w:proofErr w:type="gramEnd"/>
    </w:p>
    <w:p w14:paraId="781D5843" w14:textId="77777777" w:rsidR="00AC3293" w:rsidRDefault="00AC3293">
      <w:pPr>
        <w:rPr>
          <w:rFonts w:ascii="Century Gothic" w:eastAsia="Century Gothic" w:hAnsi="Century Gothic" w:cs="Century Gothic"/>
        </w:rPr>
      </w:pPr>
    </w:p>
    <w:p w14:paraId="18D00C10" w14:textId="77777777" w:rsidR="00AC3293" w:rsidRDefault="007A7D9E">
      <w:pPr>
        <w:rPr>
          <w:rFonts w:ascii="Century Gothic" w:eastAsia="Century Gothic" w:hAnsi="Century Gothic" w:cs="Century Gothic"/>
        </w:rPr>
      </w:pPr>
      <w:r>
        <w:rPr>
          <w:rFonts w:ascii="Century Gothic" w:eastAsia="Century Gothic" w:hAnsi="Century Gothic" w:cs="Century Gothic"/>
        </w:rPr>
        <w:t>Exclusion is a disciplinary sanction, and means that a pupil is not allowed on the school premises for the duration of the Exclusion. A pupil will be excluded for one or more fixed periods up to a maximum of 45 school days in a single academic year, or permanently. There are two types of Exclusion:</w:t>
      </w:r>
    </w:p>
    <w:p w14:paraId="006B6FE6" w14:textId="77777777" w:rsidR="00AC3293" w:rsidRDefault="007A7D9E">
      <w:pPr>
        <w:numPr>
          <w:ilvl w:val="1"/>
          <w:numId w:val="2"/>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Suspensions (previously called fixed-term exclusions) </w:t>
      </w:r>
    </w:p>
    <w:p w14:paraId="34B072DE" w14:textId="77777777" w:rsidR="00AC3293" w:rsidRDefault="007A7D9E">
      <w:pPr>
        <w:numPr>
          <w:ilvl w:val="1"/>
          <w:numId w:val="2"/>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Permanent Exclusion </w:t>
      </w:r>
    </w:p>
    <w:p w14:paraId="70337DD9" w14:textId="77777777" w:rsidR="00AC3293" w:rsidRDefault="007A7D9E">
      <w:r>
        <w:t xml:space="preserve"> </w:t>
      </w:r>
    </w:p>
    <w:p w14:paraId="026FD2F4" w14:textId="77777777" w:rsidR="00AC3293" w:rsidRDefault="007A7D9E">
      <w:pPr>
        <w:pStyle w:val="Heading1"/>
        <w:numPr>
          <w:ilvl w:val="0"/>
          <w:numId w:val="2"/>
        </w:numPr>
        <w:jc w:val="both"/>
      </w:pPr>
      <w:bookmarkStart w:id="3" w:name="_heading=h.3znysh7" w:colFirst="0" w:colLast="0"/>
      <w:bookmarkEnd w:id="3"/>
      <w:r>
        <w:t>Suspensions</w:t>
      </w:r>
    </w:p>
    <w:p w14:paraId="16FC7FBC" w14:textId="77777777" w:rsidR="00AC3293" w:rsidRDefault="00AC3293"/>
    <w:p w14:paraId="6FBCFF67" w14:textId="77777777" w:rsidR="00AC3293" w:rsidRDefault="007A7D9E">
      <w:pPr>
        <w:rPr>
          <w:rFonts w:ascii="Century Gothic" w:eastAsia="Century Gothic" w:hAnsi="Century Gothic" w:cs="Century Gothic"/>
        </w:rPr>
      </w:pPr>
      <w:r>
        <w:rPr>
          <w:rFonts w:ascii="Century Gothic" w:eastAsia="Century Gothic" w:hAnsi="Century Gothic" w:cs="Century Gothic"/>
        </w:rPr>
        <w:lastRenderedPageBreak/>
        <w:t>This means that a pupil is not allowed in school for a specified number of days because they have breached our school’s behaviour policy. Pupils who misbehave at lunchtime may be suspended for lunchtime only. Each lunchtime suspension counts as half a day. Whenever a Headteacher suspends a pupil of compulsory school age they will, without delay, notify parents/carers of the period of the suspension and the reasons for it. They must also notify the Local Authority, Social Services and other agencies involved will also be notified. The Headteacher must notify the proprietor where there is a legal duty to do so and where any suspension would result in the pupil being suspended for more than five school days (ten lunchtimes) in a term. The pupil is not allowed on the school site for a definite period; however, this does not have to be a continuous period. This might apply if a pupil attends other off-site provision for part of the week. When a pupil is suspended, the school will set and mark work for the first five days of the suspension and from the sixth day will provide a full-time education provision - most usually by sending work home.  For our pupils with SEND, this work will be activities that the pupil is able to complete in a home environment and with some measure of independence.  We will send advice and guidance for parents/carers and will maintain regular contact with them to address issues as they arise and to provide them with essential learning support resources.</w:t>
      </w:r>
    </w:p>
    <w:p w14:paraId="409EF46D" w14:textId="77777777" w:rsidR="00AC3293" w:rsidRDefault="00AC3293">
      <w:pPr>
        <w:rPr>
          <w:rFonts w:ascii="Century Gothic" w:eastAsia="Century Gothic" w:hAnsi="Century Gothic" w:cs="Century Gothic"/>
        </w:rPr>
      </w:pPr>
    </w:p>
    <w:p w14:paraId="2D13C38E" w14:textId="77777777" w:rsidR="00AC3293" w:rsidRDefault="007A7D9E">
      <w:pPr>
        <w:rPr>
          <w:rFonts w:ascii="Century Gothic" w:eastAsia="Century Gothic" w:hAnsi="Century Gothic" w:cs="Century Gothic"/>
        </w:rPr>
      </w:pPr>
      <w:r>
        <w:rPr>
          <w:rFonts w:ascii="Century Gothic" w:eastAsia="Century Gothic" w:hAnsi="Century Gothic" w:cs="Century Gothic"/>
        </w:rPr>
        <w:t>During a suspension, the pupil should not be in a public place during school hours and the parents/carers are responsible for the whereabouts of the pupil.  When necessary, school will contact family support services when a high-risk student is suspended (or excluded) from school for more than a couple of days.</w:t>
      </w:r>
    </w:p>
    <w:p w14:paraId="6A41DCC6" w14:textId="77777777" w:rsidR="00AC3293" w:rsidRDefault="007A7D9E">
      <w:pPr>
        <w:rPr>
          <w:rFonts w:ascii="Century Gothic" w:eastAsia="Century Gothic" w:hAnsi="Century Gothic" w:cs="Century Gothic"/>
        </w:rPr>
      </w:pPr>
      <w:r>
        <w:rPr>
          <w:rFonts w:ascii="Century Gothic" w:eastAsia="Century Gothic" w:hAnsi="Century Gothic" w:cs="Century Gothic"/>
        </w:rPr>
        <w:t xml:space="preserve">On returning to school, there will be a reintegration meeting, involving school staff and parents/carers alongside the </w:t>
      </w:r>
      <w:proofErr w:type="gramStart"/>
      <w:r>
        <w:rPr>
          <w:rFonts w:ascii="Century Gothic" w:eastAsia="Century Gothic" w:hAnsi="Century Gothic" w:cs="Century Gothic"/>
        </w:rPr>
        <w:t>pupil  in</w:t>
      </w:r>
      <w:proofErr w:type="gramEnd"/>
      <w:r>
        <w:rPr>
          <w:rFonts w:ascii="Century Gothic" w:eastAsia="Century Gothic" w:hAnsi="Century Gothic" w:cs="Century Gothic"/>
        </w:rPr>
        <w:t xml:space="preserve"> which all those concerned can discuss the best way forward for the pupil. The school cannot extend a suspension or ‘convert’ a suspension into a permanent exclusion. In exceptional cases, usually where further evidence has come to light, a further suspension may be issued to begin immediately after the first period ends; or a permanent exclusion may be issued to begin immediately after the end of the suspension. In exceptional circumstances, pupils may receive a suspension prior to a permanent exclusion. For each decision, the Headteacher will send a letter, setting out the rights of parents to contest this </w:t>
      </w:r>
      <w:proofErr w:type="spellStart"/>
      <w:r>
        <w:rPr>
          <w:rFonts w:ascii="Century Gothic" w:eastAsia="Century Gothic" w:hAnsi="Century Gothic" w:cs="Century Gothic"/>
        </w:rPr>
        <w:t>decisionl</w:t>
      </w:r>
      <w:proofErr w:type="spellEnd"/>
      <w:r>
        <w:rPr>
          <w:rFonts w:ascii="Century Gothic" w:eastAsia="Century Gothic" w:hAnsi="Century Gothic" w:cs="Century Gothic"/>
        </w:rPr>
        <w:t xml:space="preserve">.  In all cases of pupil suspension and exclusion, the school will do all it can to fully involve parents/carers (and where appropriate, family support </w:t>
      </w:r>
      <w:proofErr w:type="gramStart"/>
      <w:r>
        <w:rPr>
          <w:rFonts w:ascii="Century Gothic" w:eastAsia="Century Gothic" w:hAnsi="Century Gothic" w:cs="Century Gothic"/>
        </w:rPr>
        <w:t>services)and</w:t>
      </w:r>
      <w:proofErr w:type="gramEnd"/>
      <w:r>
        <w:rPr>
          <w:rFonts w:ascii="Century Gothic" w:eastAsia="Century Gothic" w:hAnsi="Century Gothic" w:cs="Century Gothic"/>
        </w:rPr>
        <w:t xml:space="preserve"> to ensure that they feel fully informed and involved in the decision-making process.</w:t>
      </w:r>
    </w:p>
    <w:p w14:paraId="7BBF8EFD" w14:textId="77777777" w:rsidR="00AC3293" w:rsidRDefault="00AC3293">
      <w:pPr>
        <w:rPr>
          <w:rFonts w:ascii="Century Gothic" w:eastAsia="Century Gothic" w:hAnsi="Century Gothic" w:cs="Century Gothic"/>
        </w:rPr>
      </w:pPr>
    </w:p>
    <w:p w14:paraId="7EDD71CC" w14:textId="77777777" w:rsidR="00AC3293" w:rsidRDefault="007A7D9E">
      <w:pPr>
        <w:pStyle w:val="Heading1"/>
        <w:numPr>
          <w:ilvl w:val="0"/>
          <w:numId w:val="2"/>
        </w:numPr>
        <w:jc w:val="both"/>
        <w:rPr>
          <w:color w:val="2F5496"/>
        </w:rPr>
      </w:pPr>
      <w:bookmarkStart w:id="4" w:name="_heading=h.3817dsvggbu6" w:colFirst="0" w:colLast="0"/>
      <w:bookmarkEnd w:id="4"/>
      <w:r>
        <w:t>Exclusions</w:t>
      </w:r>
    </w:p>
    <w:p w14:paraId="1063A2E9" w14:textId="77777777" w:rsidR="00AC3293" w:rsidRDefault="00AC3293"/>
    <w:p w14:paraId="596D8B9A" w14:textId="77777777" w:rsidR="00AC3293" w:rsidRDefault="007A7D9E">
      <w:pPr>
        <w:rPr>
          <w:rFonts w:ascii="Century Gothic" w:eastAsia="Century Gothic" w:hAnsi="Century Gothic" w:cs="Century Gothic"/>
        </w:rPr>
      </w:pPr>
      <w:r>
        <w:rPr>
          <w:rFonts w:ascii="Century Gothic" w:eastAsia="Century Gothic" w:hAnsi="Century Gothic" w:cs="Century Gothic"/>
        </w:rPr>
        <w:t xml:space="preserve">This is when a pupil is permanently excluded for a serious breach or persistent breaches of the school’s behaviour policy and if their being in school would harm </w:t>
      </w:r>
      <w:r>
        <w:rPr>
          <w:rFonts w:ascii="Century Gothic" w:eastAsia="Century Gothic" w:hAnsi="Century Gothic" w:cs="Century Gothic"/>
        </w:rPr>
        <w:lastRenderedPageBreak/>
        <w:t xml:space="preserve">the education or welfare of themselves or of others. Permanent exclusion will only be </w:t>
      </w:r>
      <w:r>
        <w:rPr>
          <w:rFonts w:ascii="Century Gothic" w:eastAsia="Century Gothic" w:hAnsi="Century Gothic" w:cs="Century Gothic"/>
          <w:b/>
        </w:rPr>
        <w:t>used as a last resort</w:t>
      </w:r>
      <w:r>
        <w:rPr>
          <w:rFonts w:ascii="Century Gothic" w:eastAsia="Century Gothic" w:hAnsi="Century Gothic" w:cs="Century Gothic"/>
        </w:rPr>
        <w:t xml:space="preserve"> and it means that the pupil can no longer be allowed to attend the school. </w:t>
      </w:r>
    </w:p>
    <w:p w14:paraId="5A916D4F" w14:textId="77777777" w:rsidR="00AC3293" w:rsidRDefault="007A7D9E">
      <w:pPr>
        <w:rPr>
          <w:rFonts w:ascii="Century Gothic" w:eastAsia="Century Gothic" w:hAnsi="Century Gothic" w:cs="Century Gothic"/>
        </w:rPr>
      </w:pPr>
      <w:r>
        <w:rPr>
          <w:rFonts w:ascii="Century Gothic" w:eastAsia="Century Gothic" w:hAnsi="Century Gothic" w:cs="Century Gothic"/>
        </w:rPr>
        <w:t>Huntingdon House School will not usually exclude a pupil unless:</w:t>
      </w:r>
    </w:p>
    <w:p w14:paraId="181B4BCA" w14:textId="77777777" w:rsidR="00AC3293" w:rsidRDefault="007A7D9E">
      <w:pPr>
        <w:numPr>
          <w:ilvl w:val="0"/>
          <w:numId w:val="1"/>
        </w:numPr>
        <w:spacing w:after="0"/>
        <w:rPr>
          <w:rFonts w:ascii="Century Gothic" w:eastAsia="Century Gothic" w:hAnsi="Century Gothic" w:cs="Century Gothic"/>
        </w:rPr>
      </w:pPr>
      <w:r>
        <w:rPr>
          <w:rFonts w:ascii="Century Gothic" w:eastAsia="Century Gothic" w:hAnsi="Century Gothic" w:cs="Century Gothic"/>
        </w:rPr>
        <w:t>they bring weapons into school and/or use school resources as a weapon to inflict harm on others</w:t>
      </w:r>
    </w:p>
    <w:p w14:paraId="6A3740EC" w14:textId="77777777" w:rsidR="00AC3293" w:rsidRDefault="007A7D9E">
      <w:pPr>
        <w:numPr>
          <w:ilvl w:val="0"/>
          <w:numId w:val="1"/>
        </w:numPr>
        <w:spacing w:after="0"/>
        <w:rPr>
          <w:rFonts w:ascii="Century Gothic" w:eastAsia="Century Gothic" w:hAnsi="Century Gothic" w:cs="Century Gothic"/>
        </w:rPr>
      </w:pPr>
      <w:r>
        <w:rPr>
          <w:rFonts w:ascii="Century Gothic" w:eastAsia="Century Gothic" w:hAnsi="Century Gothic" w:cs="Century Gothic"/>
        </w:rPr>
        <w:t>the pupil persistently victimises other pupil/ls (on-line, in school or outside of school)</w:t>
      </w:r>
    </w:p>
    <w:p w14:paraId="64C294F2" w14:textId="77777777" w:rsidR="00AC3293" w:rsidRDefault="007A7D9E">
      <w:pPr>
        <w:numPr>
          <w:ilvl w:val="0"/>
          <w:numId w:val="1"/>
        </w:numPr>
        <w:spacing w:after="0"/>
        <w:rPr>
          <w:rFonts w:ascii="Century Gothic" w:eastAsia="Century Gothic" w:hAnsi="Century Gothic" w:cs="Century Gothic"/>
        </w:rPr>
      </w:pPr>
      <w:r>
        <w:rPr>
          <w:rFonts w:ascii="Century Gothic" w:eastAsia="Century Gothic" w:hAnsi="Century Gothic" w:cs="Century Gothic"/>
        </w:rPr>
        <w:t>school is unable to keep the pupil safe (e.g. a persistent absconder)</w:t>
      </w:r>
    </w:p>
    <w:p w14:paraId="17D8E162" w14:textId="77777777" w:rsidR="00AC3293" w:rsidRDefault="007A7D9E">
      <w:pPr>
        <w:numPr>
          <w:ilvl w:val="0"/>
          <w:numId w:val="1"/>
        </w:numPr>
        <w:rPr>
          <w:rFonts w:ascii="Century Gothic" w:eastAsia="Century Gothic" w:hAnsi="Century Gothic" w:cs="Century Gothic"/>
        </w:rPr>
      </w:pPr>
      <w:r>
        <w:rPr>
          <w:rFonts w:ascii="Century Gothic" w:eastAsia="Century Gothic" w:hAnsi="Century Gothic" w:cs="Century Gothic"/>
        </w:rPr>
        <w:t>a pupil is bringing illegal substances into school and is providing these for other pupils’ use.</w:t>
      </w:r>
    </w:p>
    <w:p w14:paraId="764B1B6E" w14:textId="77777777" w:rsidR="00AC3293" w:rsidRDefault="007A7D9E">
      <w:pPr>
        <w:rPr>
          <w:rFonts w:ascii="Century Gothic" w:eastAsia="Century Gothic" w:hAnsi="Century Gothic" w:cs="Century Gothic"/>
        </w:rPr>
      </w:pPr>
      <w:r>
        <w:rPr>
          <w:rFonts w:ascii="Century Gothic" w:eastAsia="Century Gothic" w:hAnsi="Century Gothic" w:cs="Century Gothic"/>
        </w:rPr>
        <w:t>For the first five days of an exclusion, the parents/carers are responsible for the pupil’s whereabouts and he/she must not be in a public place during school hours. During this period the school will set work and provide resources for the pupil.</w:t>
      </w:r>
    </w:p>
    <w:p w14:paraId="3A6838F5" w14:textId="77777777" w:rsidR="00AC3293" w:rsidRDefault="007A7D9E">
      <w:pPr>
        <w:rPr>
          <w:rFonts w:ascii="Century Gothic" w:eastAsia="Century Gothic" w:hAnsi="Century Gothic" w:cs="Century Gothic"/>
        </w:rPr>
      </w:pPr>
      <w:r>
        <w:rPr>
          <w:rFonts w:ascii="Century Gothic" w:eastAsia="Century Gothic" w:hAnsi="Century Gothic" w:cs="Century Gothic"/>
        </w:rPr>
        <w:t>Any appropriate referrals to support services or notifying key workers (such as a pupil’s social worker) will also be considered.</w:t>
      </w:r>
    </w:p>
    <w:p w14:paraId="4B5DDB5B" w14:textId="77777777" w:rsidR="00AC3293" w:rsidRDefault="007A7D9E">
      <w:pPr>
        <w:rPr>
          <w:rFonts w:ascii="Century Gothic" w:eastAsia="Century Gothic" w:hAnsi="Century Gothic" w:cs="Century Gothic"/>
        </w:rPr>
      </w:pPr>
      <w:r>
        <w:rPr>
          <w:rFonts w:ascii="Century Gothic" w:eastAsia="Century Gothic" w:hAnsi="Century Gothic" w:cs="Century Gothic"/>
        </w:rPr>
        <w:t>The</w:t>
      </w:r>
      <w:r>
        <w:rPr>
          <w:rFonts w:ascii="Century Gothic" w:eastAsia="Century Gothic" w:hAnsi="Century Gothic" w:cs="Century Gothic"/>
          <w:b/>
        </w:rPr>
        <w:t xml:space="preserve"> Local Authority must arrange suitable full-time education for the pupil to begin no later than the sixth day of the exclusion</w:t>
      </w:r>
      <w:r>
        <w:rPr>
          <w:rFonts w:ascii="Century Gothic" w:eastAsia="Century Gothic" w:hAnsi="Century Gothic" w:cs="Century Gothic"/>
        </w:rPr>
        <w:t xml:space="preserve">. </w:t>
      </w:r>
    </w:p>
    <w:p w14:paraId="6AB50F6B" w14:textId="77777777" w:rsidR="00AC3293" w:rsidRDefault="007A7D9E">
      <w:pPr>
        <w:rPr>
          <w:rFonts w:ascii="Century Gothic" w:eastAsia="Century Gothic" w:hAnsi="Century Gothic" w:cs="Century Gothic"/>
        </w:rPr>
      </w:pPr>
      <w:r>
        <w:rPr>
          <w:rFonts w:ascii="Century Gothic" w:eastAsia="Century Gothic" w:hAnsi="Century Gothic" w:cs="Century Gothic"/>
        </w:rPr>
        <w:t>Where a pupil has an EHCP, the Local Authority must ensure that an appropriate full-time placement is identified in consultation with the parents/carers, who retain their rights to express a preference for a school that they wish their pupil to attend, or make representations for a placement in any other school. The school will meet with the proprietor to decide whether or not to reinstate a pupil and if the Headteacher decision to exclude was justified based on the evidence.</w:t>
      </w:r>
    </w:p>
    <w:p w14:paraId="3F1D6226" w14:textId="77777777" w:rsidR="00AC3293" w:rsidRDefault="007A7D9E">
      <w:pPr>
        <w:rPr>
          <w:rFonts w:ascii="Century Gothic" w:eastAsia="Century Gothic" w:hAnsi="Century Gothic" w:cs="Century Gothic"/>
        </w:rPr>
      </w:pPr>
      <w:r>
        <w:rPr>
          <w:rFonts w:ascii="Century Gothic" w:eastAsia="Century Gothic" w:hAnsi="Century Gothic" w:cs="Century Gothic"/>
        </w:rPr>
        <w:t>For parents/carers and the pupil to have an opportunity to present their point of view, regarding the exclusion. If the permanent exclusion is upheld the parents/carers have the right to appeal to an</w:t>
      </w:r>
      <w:r>
        <w:rPr>
          <w:rFonts w:ascii="Century Gothic" w:eastAsia="Century Gothic" w:hAnsi="Century Gothic" w:cs="Century Gothic"/>
          <w:b/>
        </w:rPr>
        <w:t xml:space="preserve"> Independent Review Panel</w:t>
      </w:r>
      <w:r>
        <w:rPr>
          <w:rFonts w:ascii="Century Gothic" w:eastAsia="Century Gothic" w:hAnsi="Century Gothic" w:cs="Century Gothic"/>
        </w:rPr>
        <w:t>. When establishing the facts in relation to an exclusion decision, the Headteacher will apply the civil standard of proof, i.e. ‘on the balance of probabilities’ it is more likely than not that a fact is true, rather than the criminal standard of ‘beyond reasonable doubt’.  For pupils with disabilities and Special Educational Needs (SEND) including those with Education, Health and Care plans (EHCP) there are certain factors that should be taken into consideration for pupils who display disruptive behaviour that is as a result of their Special Educational Need (SEND). Schools should engage proactively with parents/carers in supporting the behaviour of pupils with additional needs. Early intervention to address underlying causes of disruptive behaviour will include an assessment of whether appropriate provision is in place to support any SEND or disability that a pupil may have.</w:t>
      </w:r>
    </w:p>
    <w:p w14:paraId="654B2352" w14:textId="77777777" w:rsidR="00AC3293" w:rsidRDefault="007A7D9E">
      <w:pPr>
        <w:rPr>
          <w:rFonts w:ascii="Century Gothic" w:eastAsia="Century Gothic" w:hAnsi="Century Gothic" w:cs="Century Gothic"/>
        </w:rPr>
      </w:pPr>
      <w:r>
        <w:rPr>
          <w:rFonts w:ascii="Century Gothic" w:eastAsia="Century Gothic" w:hAnsi="Century Gothic" w:cs="Century Gothic"/>
        </w:rPr>
        <w:t xml:space="preserve"> The Headteacher will also consider the use of a multi-agency assessment for pupils who demonstrate persistent disruptive behaviour. </w:t>
      </w:r>
    </w:p>
    <w:p w14:paraId="0E96E0A0" w14:textId="77777777" w:rsidR="00AC3293" w:rsidRDefault="007A7D9E">
      <w:pPr>
        <w:rPr>
          <w:rFonts w:ascii="Century Gothic" w:eastAsia="Century Gothic" w:hAnsi="Century Gothic" w:cs="Century Gothic"/>
        </w:rPr>
      </w:pPr>
      <w:r>
        <w:rPr>
          <w:rFonts w:ascii="Century Gothic" w:eastAsia="Century Gothic" w:hAnsi="Century Gothic" w:cs="Century Gothic"/>
        </w:rPr>
        <w:lastRenderedPageBreak/>
        <w:t>The Headteacher and proprietor will take account of their statutory duties in relation to SEND when administering the exclusion process. This includes having regard to the SEND Code of Practice. Where a school has concerns about the behaviour, or risk of exclusion, of a pupil with additional needs, a pupil with an Educational Health Care Plan (EHCP</w:t>
      </w:r>
      <w:proofErr w:type="gramStart"/>
      <w:r>
        <w:rPr>
          <w:rFonts w:ascii="Century Gothic" w:eastAsia="Century Gothic" w:hAnsi="Century Gothic" w:cs="Century Gothic"/>
        </w:rPr>
        <w:t>),  it</w:t>
      </w:r>
      <w:proofErr w:type="gramEnd"/>
      <w:r>
        <w:rPr>
          <w:rFonts w:ascii="Century Gothic" w:eastAsia="Century Gothic" w:hAnsi="Century Gothic" w:cs="Century Gothic"/>
        </w:rPr>
        <w:t xml:space="preserve"> will, in partnership with others (including the Local Authority as necessary) consider what additional support or alternative placement may be required. </w:t>
      </w:r>
    </w:p>
    <w:p w14:paraId="4D3419D0" w14:textId="77777777" w:rsidR="00AC3293" w:rsidRDefault="007A7D9E">
      <w:pPr>
        <w:rPr>
          <w:rFonts w:ascii="Century Gothic" w:eastAsia="Century Gothic" w:hAnsi="Century Gothic" w:cs="Century Gothic"/>
        </w:rPr>
      </w:pPr>
      <w:r>
        <w:rPr>
          <w:rFonts w:ascii="Century Gothic" w:eastAsia="Century Gothic" w:hAnsi="Century Gothic" w:cs="Century Gothic"/>
        </w:rPr>
        <w:t xml:space="preserve">The decision to exclude a pupil must be lawful, reasonable and fair. Schools have a statutory duty under the Equality Act 2010 not to discriminate against pupils on the basis of protected characteristics, such as disability, pupils who have a social worker, including looked-after children, previously looked-after children and also for the majority of children who have a social worker. This is due to known safeguarding risks at home or in the community for these children. Where a pupil has a social worker, e.g., because they are the subject of a Child in Need Plan or a Child Protection Plan, and they are at risk of suspension or permanent exclusion, the Headteacher will inform their social worker, the Designated Safeguarding Lead (DSL) and the pupil’s parents to involve them all as early as possible in relevant conversations. Where a looked-after child (LAC) is likely to be subject to a suspension or permanent exclusion, the Headteacher or designated member of the leadership team will contact the Local Authority’s Virtual School Head (VSH) as soon as possible. The VSH, working with the school, should consider what additional assessment and support needs to be put in place to help the school address the factors affecting the child’s behaviour in order to reduce the need for suspension or permanent exclusion. Where relevant, the school should also engage with a child’s social worker, foster carers, or children’s home workers. All looked-after children should have a Personal Education Plan (PEP) which is part of the child’s care plan.  This will be reviewed every term and any concerns about the pupil's behaviour will be recorded, as well as how the pupil is being supported to improve their behaviour and reduce the likelihood of exclusion. </w:t>
      </w:r>
    </w:p>
    <w:p w14:paraId="62CF2989" w14:textId="77777777" w:rsidR="00AC3293" w:rsidRDefault="007A7D9E">
      <w:pPr>
        <w:rPr>
          <w:rFonts w:ascii="Century Gothic" w:eastAsia="Century Gothic" w:hAnsi="Century Gothic" w:cs="Century Gothic"/>
        </w:rPr>
      </w:pPr>
      <w:r>
        <w:rPr>
          <w:rFonts w:ascii="Century Gothic" w:eastAsia="Century Gothic" w:hAnsi="Century Gothic" w:cs="Century Gothic"/>
        </w:rPr>
        <w:t>.</w:t>
      </w:r>
    </w:p>
    <w:p w14:paraId="407958F7" w14:textId="77777777" w:rsidR="00AC3293" w:rsidRDefault="007A7D9E">
      <w:pPr>
        <w:pStyle w:val="Heading1"/>
        <w:numPr>
          <w:ilvl w:val="0"/>
          <w:numId w:val="2"/>
        </w:numPr>
      </w:pPr>
      <w:bookmarkStart w:id="5" w:name="_heading=h.tyjcwt" w:colFirst="0" w:colLast="0"/>
      <w:bookmarkEnd w:id="5"/>
      <w:r>
        <w:t>Cancelling Exclusions</w:t>
      </w:r>
    </w:p>
    <w:p w14:paraId="0A56E0AA" w14:textId="77777777" w:rsidR="00AC3293" w:rsidRDefault="00AC3293"/>
    <w:p w14:paraId="41F58092" w14:textId="77777777" w:rsidR="00AC3293" w:rsidRDefault="007A7D9E">
      <w:pPr>
        <w:spacing w:after="90" w:line="249" w:lineRule="auto"/>
        <w:jc w:val="both"/>
        <w:rPr>
          <w:rFonts w:ascii="Century Gothic" w:eastAsia="Century Gothic" w:hAnsi="Century Gothic" w:cs="Century Gothic"/>
        </w:rPr>
      </w:pPr>
      <w:r>
        <w:rPr>
          <w:rFonts w:ascii="Century Gothic" w:eastAsia="Century Gothic" w:hAnsi="Century Gothic" w:cs="Century Gothic"/>
        </w:rPr>
        <w:t xml:space="preserve">The Headteacher may cancel an exclusion that has already begun. Where an exclusion is cancelled, then: </w:t>
      </w:r>
    </w:p>
    <w:p w14:paraId="02523E54" w14:textId="77777777" w:rsidR="00AC3293" w:rsidRDefault="007A7D9E">
      <w:pPr>
        <w:numPr>
          <w:ilvl w:val="1"/>
          <w:numId w:val="2"/>
        </w:numPr>
        <w:pBdr>
          <w:top w:val="nil"/>
          <w:left w:val="nil"/>
          <w:bottom w:val="nil"/>
          <w:right w:val="nil"/>
          <w:between w:val="nil"/>
        </w:pBdr>
        <w:spacing w:after="0" w:line="249" w:lineRule="auto"/>
        <w:ind w:left="108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Parents, the proprietor, and the </w:t>
      </w:r>
      <w:r>
        <w:rPr>
          <w:rFonts w:ascii="Century Gothic" w:eastAsia="Century Gothic" w:hAnsi="Century Gothic" w:cs="Century Gothic"/>
        </w:rPr>
        <w:t>L</w:t>
      </w:r>
      <w:r>
        <w:rPr>
          <w:rFonts w:ascii="Century Gothic" w:eastAsia="Century Gothic" w:hAnsi="Century Gothic" w:cs="Century Gothic"/>
          <w:color w:val="000000"/>
        </w:rPr>
        <w:t xml:space="preserve">ocal </w:t>
      </w:r>
      <w:r>
        <w:rPr>
          <w:rFonts w:ascii="Century Gothic" w:eastAsia="Century Gothic" w:hAnsi="Century Gothic" w:cs="Century Gothic"/>
        </w:rPr>
        <w:t>A</w:t>
      </w:r>
      <w:r>
        <w:rPr>
          <w:rFonts w:ascii="Century Gothic" w:eastAsia="Century Gothic" w:hAnsi="Century Gothic" w:cs="Century Gothic"/>
          <w:color w:val="000000"/>
        </w:rPr>
        <w:t xml:space="preserve">uthority </w:t>
      </w:r>
      <w:r>
        <w:rPr>
          <w:rFonts w:ascii="Century Gothic" w:eastAsia="Century Gothic" w:hAnsi="Century Gothic" w:cs="Century Gothic"/>
        </w:rPr>
        <w:t>will</w:t>
      </w:r>
      <w:r>
        <w:rPr>
          <w:rFonts w:ascii="Century Gothic" w:eastAsia="Century Gothic" w:hAnsi="Century Gothic" w:cs="Century Gothic"/>
          <w:color w:val="000000"/>
        </w:rPr>
        <w:t xml:space="preserve"> be notified without delay and, if relevant, the social worker and Virtual School Head; </w:t>
      </w:r>
    </w:p>
    <w:p w14:paraId="282DD577" w14:textId="77777777" w:rsidR="00AC3293" w:rsidRDefault="007A7D9E">
      <w:pPr>
        <w:numPr>
          <w:ilvl w:val="1"/>
          <w:numId w:val="2"/>
        </w:numPr>
        <w:pBdr>
          <w:top w:val="nil"/>
          <w:left w:val="nil"/>
          <w:bottom w:val="nil"/>
          <w:right w:val="nil"/>
          <w:between w:val="nil"/>
        </w:pBdr>
        <w:spacing w:after="0" w:line="249" w:lineRule="auto"/>
        <w:ind w:left="108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Parents </w:t>
      </w:r>
      <w:r>
        <w:rPr>
          <w:rFonts w:ascii="Century Gothic" w:eastAsia="Century Gothic" w:hAnsi="Century Gothic" w:cs="Century Gothic"/>
        </w:rPr>
        <w:t>will</w:t>
      </w:r>
      <w:r>
        <w:rPr>
          <w:rFonts w:ascii="Century Gothic" w:eastAsia="Century Gothic" w:hAnsi="Century Gothic" w:cs="Century Gothic"/>
          <w:color w:val="000000"/>
        </w:rPr>
        <w:t xml:space="preserve"> be offered the opportunity to meet with the Headteacher to discuss the circumstances that led to the exclusion being cancelled; </w:t>
      </w:r>
    </w:p>
    <w:p w14:paraId="0162EB83" w14:textId="77777777" w:rsidR="00AC3293" w:rsidRDefault="007A7D9E">
      <w:pPr>
        <w:numPr>
          <w:ilvl w:val="1"/>
          <w:numId w:val="2"/>
        </w:numPr>
        <w:pBdr>
          <w:top w:val="nil"/>
          <w:left w:val="nil"/>
          <w:bottom w:val="nil"/>
          <w:right w:val="nil"/>
          <w:between w:val="nil"/>
        </w:pBdr>
        <w:spacing w:after="0" w:line="249" w:lineRule="auto"/>
        <w:ind w:left="1080"/>
        <w:jc w:val="both"/>
        <w:rPr>
          <w:rFonts w:ascii="Century Gothic" w:eastAsia="Century Gothic" w:hAnsi="Century Gothic" w:cs="Century Gothic"/>
          <w:color w:val="000000"/>
        </w:rPr>
      </w:pPr>
      <w:r>
        <w:rPr>
          <w:rFonts w:ascii="Century Gothic" w:eastAsia="Century Gothic" w:hAnsi="Century Gothic" w:cs="Century Gothic"/>
        </w:rPr>
        <w:t>The s</w:t>
      </w:r>
      <w:r>
        <w:rPr>
          <w:rFonts w:ascii="Century Gothic" w:eastAsia="Century Gothic" w:hAnsi="Century Gothic" w:cs="Century Gothic"/>
          <w:color w:val="000000"/>
        </w:rPr>
        <w:t xml:space="preserve">chool </w:t>
      </w:r>
      <w:r>
        <w:rPr>
          <w:rFonts w:ascii="Century Gothic" w:eastAsia="Century Gothic" w:hAnsi="Century Gothic" w:cs="Century Gothic"/>
        </w:rPr>
        <w:t>will</w:t>
      </w:r>
      <w:r>
        <w:rPr>
          <w:rFonts w:ascii="Century Gothic" w:eastAsia="Century Gothic" w:hAnsi="Century Gothic" w:cs="Century Gothic"/>
          <w:color w:val="000000"/>
        </w:rPr>
        <w:t xml:space="preserve"> report to the proprietor once per term on the number of exclusions which have been cancelled. This should include the circumstances and reasons for the cancellation enabling the proprietor to have appropriate oversight </w:t>
      </w:r>
    </w:p>
    <w:p w14:paraId="4AF1AA53" w14:textId="77777777" w:rsidR="00AC3293" w:rsidRDefault="007A7D9E">
      <w:pPr>
        <w:pBdr>
          <w:top w:val="nil"/>
          <w:left w:val="nil"/>
          <w:bottom w:val="nil"/>
          <w:right w:val="nil"/>
          <w:between w:val="nil"/>
        </w:pBdr>
        <w:spacing w:after="0" w:line="249" w:lineRule="auto"/>
        <w:ind w:left="1440"/>
        <w:jc w:val="both"/>
        <w:rPr>
          <w:rFonts w:ascii="Century Gothic" w:eastAsia="Century Gothic" w:hAnsi="Century Gothic" w:cs="Century Gothic"/>
          <w:color w:val="000000"/>
        </w:rPr>
      </w:pPr>
      <w:r>
        <w:rPr>
          <w:rFonts w:ascii="Century Gothic" w:eastAsia="Century Gothic" w:hAnsi="Century Gothic" w:cs="Century Gothic"/>
          <w:color w:val="000000"/>
        </w:rPr>
        <w:t>and</w:t>
      </w:r>
    </w:p>
    <w:p w14:paraId="342012AA" w14:textId="77777777" w:rsidR="00AC3293" w:rsidRDefault="007A7D9E">
      <w:pPr>
        <w:numPr>
          <w:ilvl w:val="1"/>
          <w:numId w:val="2"/>
        </w:numPr>
        <w:pBdr>
          <w:top w:val="nil"/>
          <w:left w:val="nil"/>
          <w:bottom w:val="nil"/>
          <w:right w:val="nil"/>
          <w:between w:val="nil"/>
        </w:pBdr>
        <w:spacing w:after="90" w:line="249" w:lineRule="auto"/>
        <w:ind w:left="108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The pupil should be allowed back into the school</w:t>
      </w:r>
      <w:r>
        <w:rPr>
          <w:rFonts w:ascii="Century Gothic" w:eastAsia="Century Gothic" w:hAnsi="Century Gothic" w:cs="Century Gothic"/>
        </w:rPr>
        <w:t>, without further investigation or retribution</w:t>
      </w:r>
    </w:p>
    <w:p w14:paraId="4D78C0E6" w14:textId="77777777" w:rsidR="00AC3293" w:rsidRDefault="00AC3293">
      <w:pPr>
        <w:rPr>
          <w:rFonts w:ascii="Century Gothic" w:eastAsia="Century Gothic" w:hAnsi="Century Gothic" w:cs="Century Gothic"/>
          <w:b/>
        </w:rPr>
      </w:pPr>
    </w:p>
    <w:p w14:paraId="2C8D19CA" w14:textId="77777777" w:rsidR="00AC3293" w:rsidRDefault="007A7D9E">
      <w:pPr>
        <w:pStyle w:val="Heading1"/>
        <w:numPr>
          <w:ilvl w:val="0"/>
          <w:numId w:val="2"/>
        </w:numPr>
      </w:pPr>
      <w:bookmarkStart w:id="6" w:name="_heading=h.3dy6vkm" w:colFirst="0" w:colLast="0"/>
      <w:bookmarkEnd w:id="6"/>
      <w:r>
        <w:t>The Role of the Proprietor</w:t>
      </w:r>
    </w:p>
    <w:p w14:paraId="3C2312E1" w14:textId="77777777" w:rsidR="00AC3293" w:rsidRDefault="00AC3293"/>
    <w:p w14:paraId="289819EE" w14:textId="77777777" w:rsidR="00AC3293" w:rsidRDefault="007A7D9E">
      <w:pPr>
        <w:rPr>
          <w:rFonts w:ascii="Century Gothic" w:eastAsia="Century Gothic" w:hAnsi="Century Gothic" w:cs="Century Gothic"/>
        </w:rPr>
      </w:pPr>
      <w:r>
        <w:rPr>
          <w:rFonts w:ascii="Century Gothic" w:eastAsia="Century Gothic" w:hAnsi="Century Gothic" w:cs="Century Gothic"/>
        </w:rPr>
        <w:t xml:space="preserve">The Proprietor has a duty to consider parents/carers' representations about a suspension or permanent exclusion. The </w:t>
      </w:r>
      <w:r>
        <w:rPr>
          <w:rFonts w:ascii="Century Gothic" w:eastAsia="Century Gothic" w:hAnsi="Century Gothic" w:cs="Century Gothic"/>
          <w:b/>
        </w:rPr>
        <w:t>Proprietor will consider the reinstatement of a suspended or permanently excluded pupil within 15 school days of receiving notice of a suspension or permanent exclusion from the headteacher</w:t>
      </w:r>
      <w:r>
        <w:rPr>
          <w:rFonts w:ascii="Century Gothic" w:eastAsia="Century Gothic" w:hAnsi="Century Gothic" w:cs="Century Gothic"/>
        </w:rPr>
        <w:t xml:space="preserve"> if: </w:t>
      </w:r>
    </w:p>
    <w:p w14:paraId="6E279148" w14:textId="77777777" w:rsidR="00AC3293" w:rsidRDefault="007A7D9E">
      <w:pPr>
        <w:rPr>
          <w:rFonts w:ascii="Century Gothic" w:eastAsia="Century Gothic" w:hAnsi="Century Gothic" w:cs="Century Gothic"/>
        </w:rPr>
      </w:pPr>
      <w:r>
        <w:rPr>
          <w:rFonts w:ascii="Symbol" w:eastAsia="Symbol" w:hAnsi="Symbol" w:cs="Symbol"/>
        </w:rPr>
        <w:t>∙</w:t>
      </w:r>
      <w:r>
        <w:rPr>
          <w:rFonts w:ascii="Century Gothic" w:eastAsia="Century Gothic" w:hAnsi="Century Gothic" w:cs="Century Gothic"/>
        </w:rPr>
        <w:t xml:space="preserve"> The exclusion is permanent; </w:t>
      </w:r>
    </w:p>
    <w:p w14:paraId="7EFD5E7B" w14:textId="77777777" w:rsidR="00AC3293" w:rsidRDefault="007A7D9E">
      <w:pPr>
        <w:rPr>
          <w:rFonts w:ascii="Century Gothic" w:eastAsia="Century Gothic" w:hAnsi="Century Gothic" w:cs="Century Gothic"/>
        </w:rPr>
      </w:pPr>
      <w:r>
        <w:rPr>
          <w:rFonts w:ascii="Symbol" w:eastAsia="Symbol" w:hAnsi="Symbol" w:cs="Symbol"/>
        </w:rPr>
        <w:t>∙</w:t>
      </w:r>
      <w:r>
        <w:rPr>
          <w:rFonts w:ascii="Century Gothic" w:eastAsia="Century Gothic" w:hAnsi="Century Gothic" w:cs="Century Gothic"/>
        </w:rPr>
        <w:t xml:space="preserve"> It is a suspension which would bring the pupil's total number of school days of exclusion to more than 15 in a term; or </w:t>
      </w:r>
    </w:p>
    <w:p w14:paraId="591E811B" w14:textId="77777777" w:rsidR="00AC3293" w:rsidRDefault="007A7D9E">
      <w:pPr>
        <w:rPr>
          <w:rFonts w:ascii="Century Gothic" w:eastAsia="Century Gothic" w:hAnsi="Century Gothic" w:cs="Century Gothic"/>
        </w:rPr>
      </w:pPr>
      <w:r>
        <w:rPr>
          <w:rFonts w:ascii="Symbol" w:eastAsia="Symbol" w:hAnsi="Symbol" w:cs="Symbol"/>
        </w:rPr>
        <w:t>∙</w:t>
      </w:r>
      <w:r>
        <w:rPr>
          <w:rFonts w:ascii="Century Gothic" w:eastAsia="Century Gothic" w:hAnsi="Century Gothic" w:cs="Century Gothic"/>
        </w:rPr>
        <w:t xml:space="preserve"> It would result in a pupil missing a public examination or national curriculum test.</w:t>
      </w:r>
    </w:p>
    <w:p w14:paraId="024BBC5C" w14:textId="77777777" w:rsidR="00AC3293" w:rsidRDefault="007A7D9E">
      <w:pPr>
        <w:rPr>
          <w:rFonts w:ascii="Century Gothic" w:eastAsia="Century Gothic" w:hAnsi="Century Gothic" w:cs="Century Gothic"/>
        </w:rPr>
      </w:pPr>
      <w:r>
        <w:rPr>
          <w:rFonts w:ascii="Century Gothic" w:eastAsia="Century Gothic" w:hAnsi="Century Gothic" w:cs="Century Gothic"/>
        </w:rPr>
        <w:t xml:space="preserve">If a pupil is suspended from school for more than five school days, but not more than 16 in a single term, when requested by parents/carers the proprietor will meet with them within 50 school days. In the case of a suspension which does not bring the pupil's total number of days of suspension to more than five in a term, the proprietor must consider any representations made by parents/carers, but it cannot direct reinstatement as it does not have the power to overturn the headteacher’s decision and is not required to arrange a meeting with parents/carers. In this case they should consider whether it would be appropriate to place a note of their findings on the pupil’s educational record. Excluded pupils are encouraged to participate at all stages of the exclusion process, taking into account their age and understanding. </w:t>
      </w:r>
    </w:p>
    <w:p w14:paraId="2E85B6D7" w14:textId="77777777" w:rsidR="00AC3293" w:rsidRDefault="007A7D9E">
      <w:pPr>
        <w:rPr>
          <w:rFonts w:ascii="Century Gothic" w:eastAsia="Century Gothic" w:hAnsi="Century Gothic" w:cs="Century Gothic"/>
        </w:rPr>
      </w:pPr>
      <w:r>
        <w:rPr>
          <w:rFonts w:ascii="Century Gothic" w:eastAsia="Century Gothic" w:hAnsi="Century Gothic" w:cs="Century Gothic"/>
        </w:rPr>
        <w:t xml:space="preserve">In the light of their consideration, the proprietor may (where applicable): </w:t>
      </w:r>
    </w:p>
    <w:p w14:paraId="5AC43065" w14:textId="77777777" w:rsidR="00AC3293" w:rsidRDefault="007A7D9E">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uphold a suspension or permanent exclusion; or </w:t>
      </w:r>
    </w:p>
    <w:p w14:paraId="33817ED0" w14:textId="77777777" w:rsidR="00AC3293" w:rsidRDefault="007A7D9E">
      <w:pPr>
        <w:numPr>
          <w:ilvl w:val="0"/>
          <w:numId w:val="3"/>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directly </w:t>
      </w:r>
      <w:r>
        <w:rPr>
          <w:rFonts w:ascii="Century Gothic" w:eastAsia="Century Gothic" w:hAnsi="Century Gothic" w:cs="Century Gothic"/>
        </w:rPr>
        <w:t>reinstate</w:t>
      </w:r>
      <w:r>
        <w:rPr>
          <w:rFonts w:ascii="Century Gothic" w:eastAsia="Century Gothic" w:hAnsi="Century Gothic" w:cs="Century Gothic"/>
          <w:color w:val="000000"/>
        </w:rPr>
        <w:t xml:space="preserve"> the pupil immediately or on a particular date. </w:t>
      </w:r>
    </w:p>
    <w:p w14:paraId="09EACF87" w14:textId="77777777" w:rsidR="00AC3293" w:rsidRDefault="007A7D9E">
      <w:pPr>
        <w:rPr>
          <w:rFonts w:ascii="Century Gothic" w:eastAsia="Century Gothic" w:hAnsi="Century Gothic" w:cs="Century Gothic"/>
        </w:rPr>
      </w:pPr>
      <w:r>
        <w:rPr>
          <w:rFonts w:ascii="Century Gothic" w:eastAsia="Century Gothic" w:hAnsi="Century Gothic" w:cs="Century Gothic"/>
        </w:rPr>
        <w:t>Where reinstatement is not practical because, for example, the pupil has already returned to school following the expiry of a suspension or the parents/carers make clear they do not want their pupil reinstated, the proprietor will, in any event, consider whether the Headteacher’s decision to exclude the pupil was justified based on the evidence. In reaching a decision on whether or not to reinstate a pupil, the proprietor should consider whether the decision to exclude the pupil was lawful, reasonable and procedurally fair, taking account of the Headteacher’s legal duties</w:t>
      </w:r>
    </w:p>
    <w:p w14:paraId="102818FB" w14:textId="77777777" w:rsidR="00AC3293" w:rsidRDefault="00AC3293"/>
    <w:p w14:paraId="6D530BBB" w14:textId="77777777" w:rsidR="00AC3293" w:rsidRDefault="007A7D9E">
      <w:pPr>
        <w:pStyle w:val="Heading1"/>
        <w:numPr>
          <w:ilvl w:val="0"/>
          <w:numId w:val="2"/>
        </w:numPr>
      </w:pPr>
      <w:bookmarkStart w:id="7" w:name="_heading=h.1t3h5sf" w:colFirst="0" w:colLast="0"/>
      <w:bookmarkEnd w:id="7"/>
      <w:r>
        <w:t>Independent Review Panel</w:t>
      </w:r>
    </w:p>
    <w:p w14:paraId="25F5E7C4" w14:textId="77777777" w:rsidR="00AC3293" w:rsidRDefault="00AC3293"/>
    <w:p w14:paraId="65C91428" w14:textId="77777777" w:rsidR="00AC3293" w:rsidRDefault="007A7D9E">
      <w:pPr>
        <w:rPr>
          <w:rFonts w:ascii="Century Gothic" w:eastAsia="Century Gothic" w:hAnsi="Century Gothic" w:cs="Century Gothic"/>
        </w:rPr>
      </w:pPr>
      <w:r>
        <w:rPr>
          <w:rFonts w:ascii="Century Gothic" w:eastAsia="Century Gothic" w:hAnsi="Century Gothic" w:cs="Century Gothic"/>
        </w:rPr>
        <w:lastRenderedPageBreak/>
        <w:t xml:space="preserve">If applied for by parents/carers within the legal time frame, an independent review panel hearing will be arranged to review the decision of a proprietor not to reinstate a permanently excluded pupil. The legal time frame for an application is: </w:t>
      </w:r>
    </w:p>
    <w:p w14:paraId="6E172715" w14:textId="77777777" w:rsidR="00AC3293" w:rsidRDefault="007A7D9E">
      <w:pPr>
        <w:rPr>
          <w:rFonts w:ascii="Century Gothic" w:eastAsia="Century Gothic" w:hAnsi="Century Gothic" w:cs="Century Gothic"/>
        </w:rPr>
      </w:pPr>
      <w:r>
        <w:rPr>
          <w:rFonts w:ascii="Symbol" w:eastAsia="Symbol" w:hAnsi="Symbol" w:cs="Symbol"/>
        </w:rPr>
        <w:t>∙</w:t>
      </w:r>
      <w:r>
        <w:rPr>
          <w:rFonts w:ascii="Century Gothic" w:eastAsia="Century Gothic" w:hAnsi="Century Gothic" w:cs="Century Gothic"/>
          <w:b/>
        </w:rPr>
        <w:t xml:space="preserve"> within 15 school days </w:t>
      </w:r>
      <w:r>
        <w:rPr>
          <w:rFonts w:ascii="Century Gothic" w:eastAsia="Century Gothic" w:hAnsi="Century Gothic" w:cs="Century Gothic"/>
        </w:rPr>
        <w:t>of notice being given to the parents/carers by the proprietor of their decision to uphold a permanent exclusion or;</w:t>
      </w:r>
    </w:p>
    <w:p w14:paraId="094347B2" w14:textId="77777777" w:rsidR="00AC3293" w:rsidRDefault="007A7D9E">
      <w:pPr>
        <w:rPr>
          <w:rFonts w:ascii="Century Gothic" w:eastAsia="Century Gothic" w:hAnsi="Century Gothic" w:cs="Century Gothic"/>
        </w:rPr>
      </w:pPr>
      <w:r>
        <w:rPr>
          <w:rFonts w:ascii="Symbol" w:eastAsia="Symbol" w:hAnsi="Symbol" w:cs="Symbol"/>
        </w:rPr>
        <w:t>∙</w:t>
      </w:r>
      <w:r>
        <w:rPr>
          <w:rFonts w:ascii="Century Gothic" w:eastAsia="Century Gothic" w:hAnsi="Century Gothic" w:cs="Century Gothic"/>
        </w:rPr>
        <w:t xml:space="preserve"> where an application has not been made within this time frame, within 15 school days of the final determination of a claim of discrimination under the Equality Act 2010 in relation to the exclusion. If requested by parents/carers in their application for an independent review panel, the school will appoint a SEND expert to attend the panel and cover the associated costs of this appointment. The SEND expert’s role is like that of an expert witness, providing impartial advice to the panel on how special educational needs might be relevant to the exclusion.   For example, whether the school acted reasonably in relation to its legal duties when excluding the pupil. Parents/carers have a right to request the attendance of a SEND expert at a review, regardless of whether the school recognises that their pupil has SEND. The role of the panel is to review the proprietor’s decision not to reinstate a permanently excluded pupil. In reviewing the decision, the panel must consider the interests and circumstances of the excluded pupil, including the circumstances in which the pupil was excluded, and have regard to the interests of other pupils and people working at the school. The panel must apply the civil standard of proof, (i.e., ‘on the balance of probabilities’ it is more likely than not that a fact is true) rather than the criminal standard of ‘beyond reasonable doubt’. Following its review, the panel can decide to: </w:t>
      </w:r>
    </w:p>
    <w:p w14:paraId="75221CE7" w14:textId="77777777" w:rsidR="00AC3293" w:rsidRDefault="007A7D9E">
      <w:pPr>
        <w:rPr>
          <w:rFonts w:ascii="Century Gothic" w:eastAsia="Century Gothic" w:hAnsi="Century Gothic" w:cs="Century Gothic"/>
        </w:rPr>
      </w:pPr>
      <w:r>
        <w:rPr>
          <w:rFonts w:ascii="Symbol" w:eastAsia="Symbol" w:hAnsi="Symbol" w:cs="Symbol"/>
        </w:rPr>
        <w:t>∙</w:t>
      </w:r>
      <w:r>
        <w:rPr>
          <w:rFonts w:ascii="Century Gothic" w:eastAsia="Century Gothic" w:hAnsi="Century Gothic" w:cs="Century Gothic"/>
        </w:rPr>
        <w:t xml:space="preserve"> uphold the permanent exclusion decision; </w:t>
      </w:r>
    </w:p>
    <w:p w14:paraId="38BBAE53" w14:textId="77777777" w:rsidR="00AC3293" w:rsidRDefault="007A7D9E">
      <w:pPr>
        <w:rPr>
          <w:rFonts w:ascii="Century Gothic" w:eastAsia="Century Gothic" w:hAnsi="Century Gothic" w:cs="Century Gothic"/>
        </w:rPr>
      </w:pPr>
      <w:r>
        <w:rPr>
          <w:rFonts w:ascii="Symbol" w:eastAsia="Symbol" w:hAnsi="Symbol" w:cs="Symbol"/>
        </w:rPr>
        <w:t>∙</w:t>
      </w:r>
      <w:r>
        <w:rPr>
          <w:rFonts w:ascii="Century Gothic" w:eastAsia="Century Gothic" w:hAnsi="Century Gothic" w:cs="Century Gothic"/>
        </w:rPr>
        <w:t xml:space="preserve"> recommend that the governing body reconsiders their decision, or </w:t>
      </w:r>
    </w:p>
    <w:p w14:paraId="131B68EB" w14:textId="77777777" w:rsidR="00AC3293" w:rsidRDefault="007A7D9E">
      <w:pPr>
        <w:rPr>
          <w:rFonts w:ascii="Century Gothic" w:eastAsia="Century Gothic" w:hAnsi="Century Gothic" w:cs="Century Gothic"/>
        </w:rPr>
      </w:pPr>
      <w:bookmarkStart w:id="8" w:name="_heading=h.4d34og8" w:colFirst="0" w:colLast="0"/>
      <w:bookmarkEnd w:id="8"/>
      <w:r>
        <w:rPr>
          <w:rFonts w:ascii="Symbol" w:eastAsia="Symbol" w:hAnsi="Symbol" w:cs="Symbol"/>
        </w:rPr>
        <w:t>∙</w:t>
      </w:r>
      <w:r>
        <w:rPr>
          <w:rFonts w:ascii="Century Gothic" w:eastAsia="Century Gothic" w:hAnsi="Century Gothic" w:cs="Century Gothic"/>
        </w:rPr>
        <w:t xml:space="preserve"> quash the decision and direct that the Headteacher and proprietor considers the permanent exclusion again. An independent review panel does not have the power to direct a proprietor to reinstate a permanently excluded pupil. However, where a panel decides that a proprietor decision is flawed when considered in the light of the principles applicable on an application for judicial review, it can direct the school to reconsider its decision. If a child is still permanently excluded parents/carers can ask the Local Authority to look at whether the case was handled properly. The Local Authority cannot overturn an exclusion.</w:t>
      </w:r>
    </w:p>
    <w:p w14:paraId="1D94ACC8" w14:textId="77777777" w:rsidR="00AC3293" w:rsidRDefault="00AC3293">
      <w:pPr>
        <w:spacing w:after="0"/>
        <w:rPr>
          <w:rFonts w:ascii="Century Gothic" w:eastAsia="Century Gothic" w:hAnsi="Century Gothic" w:cs="Century Gothic"/>
          <w:color w:val="000000"/>
        </w:rPr>
      </w:pPr>
    </w:p>
    <w:p w14:paraId="6BB52AFA" w14:textId="77777777" w:rsidR="00AC3293" w:rsidRDefault="00AC3293"/>
    <w:p w14:paraId="203EAD1C" w14:textId="77777777" w:rsidR="00AC3293" w:rsidRDefault="00AC3293">
      <w:pPr>
        <w:jc w:val="both"/>
        <w:rPr>
          <w:rFonts w:ascii="Century Gothic" w:eastAsia="Century Gothic" w:hAnsi="Century Gothic" w:cs="Century Gothic"/>
        </w:rPr>
      </w:pPr>
    </w:p>
    <w:sectPr w:rsidR="00AC3293">
      <w:headerReference w:type="default" r:id="rId9"/>
      <w:footerReference w:type="even"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10E88" w14:textId="77777777" w:rsidR="00E57F41" w:rsidRDefault="00E57F41">
      <w:pPr>
        <w:spacing w:after="0" w:line="240" w:lineRule="auto"/>
      </w:pPr>
      <w:r>
        <w:separator/>
      </w:r>
    </w:p>
  </w:endnote>
  <w:endnote w:type="continuationSeparator" w:id="0">
    <w:p w14:paraId="5F8D9BC9" w14:textId="77777777" w:rsidR="00E57F41" w:rsidRDefault="00E57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60FA9A0-5856-447D-A51B-CDBB3D18DB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0E31F58-96F6-44CA-BFA6-997F8BB89631}"/>
    <w:embedBold r:id="rId3" w:fontKey="{1EE94127-14AB-41DD-8F59-D0B8E1D690CC}"/>
  </w:font>
  <w:font w:name="Calibri Light">
    <w:panose1 w:val="020F0302020204030204"/>
    <w:charset w:val="00"/>
    <w:family w:val="swiss"/>
    <w:pitch w:val="variable"/>
    <w:sig w:usb0="E4002EFF" w:usb1="C200247B" w:usb2="00000009" w:usb3="00000000" w:csb0="000001FF" w:csb1="00000000"/>
    <w:embedRegular r:id="rId4" w:fontKey="{7761148B-22E5-43BC-B709-DA2018B6D9BE}"/>
    <w:embedItalic r:id="rId5" w:fontKey="{DF56B026-DB69-48B1-997D-A3382761C2B7}"/>
  </w:font>
  <w:font w:name="Century Gothic">
    <w:panose1 w:val="020B0502020202020204"/>
    <w:charset w:val="00"/>
    <w:family w:val="swiss"/>
    <w:pitch w:val="variable"/>
    <w:sig w:usb0="00000287" w:usb1="00000000" w:usb2="00000000" w:usb3="00000000" w:csb0="0000009F" w:csb1="00000000"/>
    <w:embedRegular r:id="rId6" w:fontKey="{C229F141-CB7B-4BDD-B5D4-78EBABE30A72}"/>
    <w:embedBold r:id="rId7" w:fontKey="{977FABE0-C391-4F38-84CB-D8FD20817A20}"/>
  </w:font>
  <w:font w:name="Segoe UI">
    <w:panose1 w:val="020B0502040204020203"/>
    <w:charset w:val="00"/>
    <w:family w:val="swiss"/>
    <w:pitch w:val="variable"/>
    <w:sig w:usb0="E4002EFF" w:usb1="C000E47F" w:usb2="00000009" w:usb3="00000000" w:csb0="000001FF" w:csb1="00000000"/>
    <w:embedRegular r:id="rId8" w:fontKey="{888FB459-9655-4A55-92A9-93088A96FBDA}"/>
  </w:font>
  <w:font w:name="Tahoma">
    <w:panose1 w:val="020B0604030504040204"/>
    <w:charset w:val="00"/>
    <w:family w:val="swiss"/>
    <w:pitch w:val="variable"/>
    <w:sig w:usb0="E1002EFF" w:usb1="C000605B" w:usb2="00000029" w:usb3="00000000" w:csb0="000101FF" w:csb1="00000000"/>
    <w:embedRegular r:id="rId9" w:fontKey="{C08B83C1-4D9B-4DF9-AB73-10A8A8952946}"/>
  </w:font>
  <w:font w:name="Georgia">
    <w:panose1 w:val="02040502050405020303"/>
    <w:charset w:val="00"/>
    <w:family w:val="roman"/>
    <w:pitch w:val="variable"/>
    <w:sig w:usb0="00000287" w:usb1="00000000" w:usb2="00000000" w:usb3="00000000" w:csb0="0000009F" w:csb1="00000000"/>
    <w:embedRegular r:id="rId10" w:fontKey="{07549A7D-0560-4CCF-86EC-21F8BE47F05F}"/>
    <w:embedItalic r:id="rId11" w:fontKey="{1FB9546E-2E4C-416D-87FD-5B428FBA7C8F}"/>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embedRegular r:id="rId12" w:fontKey="{3B81EE37-967D-4F19-9032-937BC7AE7AD4}"/>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3" w:fontKey="{81CA06B3-B90D-46AA-A660-3044AF1073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1568693"/>
      <w:docPartObj>
        <w:docPartGallery w:val="Page Numbers (Bottom of Page)"/>
        <w:docPartUnique/>
      </w:docPartObj>
    </w:sdtPr>
    <w:sdtEndPr>
      <w:rPr>
        <w:rStyle w:val="PageNumber"/>
      </w:rPr>
    </w:sdtEndPr>
    <w:sdtContent>
      <w:p w14:paraId="4A198ED2" w14:textId="0B13191D" w:rsidR="00A30526" w:rsidRDefault="00A30526" w:rsidP="00DE22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A8A6F2" w14:textId="77777777" w:rsidR="00A30526" w:rsidRDefault="00A30526" w:rsidP="00A305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2077447"/>
      <w:docPartObj>
        <w:docPartGallery w:val="Page Numbers (Bottom of Page)"/>
        <w:docPartUnique/>
      </w:docPartObj>
    </w:sdtPr>
    <w:sdtEndPr>
      <w:rPr>
        <w:rStyle w:val="PageNumber"/>
      </w:rPr>
    </w:sdtEndPr>
    <w:sdtContent>
      <w:p w14:paraId="43865347" w14:textId="31007A48" w:rsidR="00A30526" w:rsidRDefault="00A30526" w:rsidP="00DE22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75E95D" w14:textId="77777777" w:rsidR="00A30526" w:rsidRDefault="00A30526" w:rsidP="00A305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29860" w14:textId="77777777" w:rsidR="00E57F41" w:rsidRDefault="00E57F41">
      <w:pPr>
        <w:spacing w:after="0" w:line="240" w:lineRule="auto"/>
      </w:pPr>
      <w:r>
        <w:separator/>
      </w:r>
    </w:p>
  </w:footnote>
  <w:footnote w:type="continuationSeparator" w:id="0">
    <w:p w14:paraId="4C37D309" w14:textId="77777777" w:rsidR="00E57F41" w:rsidRDefault="00E57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A7660" w14:textId="77777777" w:rsidR="00AC3293" w:rsidRDefault="007A7D9E">
    <w:pPr>
      <w:pBdr>
        <w:left w:val="single" w:sz="12" w:space="11" w:color="4F81BD"/>
      </w:pBdr>
      <w:tabs>
        <w:tab w:val="left" w:pos="3620"/>
        <w:tab w:val="left" w:pos="3964"/>
      </w:tabs>
      <w:spacing w:after="0"/>
      <w:rPr>
        <w:rFonts w:ascii="Cambria" w:eastAsia="Cambria" w:hAnsi="Cambria" w:cs="Cambria"/>
        <w:sz w:val="20"/>
        <w:szCs w:val="20"/>
      </w:rPr>
    </w:pPr>
    <w:r>
      <w:rPr>
        <w:rFonts w:ascii="Cambria" w:eastAsia="Cambria" w:hAnsi="Cambria" w:cs="Cambria"/>
        <w:sz w:val="20"/>
        <w:szCs w:val="20"/>
      </w:rPr>
      <w:t xml:space="preserve">Exclusions Policy                                                                     </w:t>
    </w:r>
  </w:p>
  <w:p w14:paraId="7B2BF9F8" w14:textId="77777777" w:rsidR="00AC3293" w:rsidRDefault="007A7D9E">
    <w:pPr>
      <w:pBdr>
        <w:left w:val="single" w:sz="12" w:space="11" w:color="4F81BD"/>
      </w:pBdr>
      <w:tabs>
        <w:tab w:val="left" w:pos="3620"/>
        <w:tab w:val="left" w:pos="3964"/>
      </w:tabs>
      <w:spacing w:after="0"/>
      <w:rPr>
        <w:rFonts w:ascii="Cambria" w:eastAsia="Cambria" w:hAnsi="Cambria" w:cs="Cambria"/>
        <w:sz w:val="20"/>
        <w:szCs w:val="20"/>
      </w:rPr>
    </w:pPr>
    <w:r>
      <w:rPr>
        <w:rFonts w:ascii="Cambria" w:eastAsia="Cambria" w:hAnsi="Cambria" w:cs="Cambria"/>
        <w:sz w:val="20"/>
        <w:szCs w:val="20"/>
      </w:rPr>
      <w:t xml:space="preserve">Document Ref: </w:t>
    </w:r>
  </w:p>
  <w:p w14:paraId="612188AB" w14:textId="77777777" w:rsidR="00AC3293" w:rsidRDefault="007A7D9E">
    <w:pPr>
      <w:pBdr>
        <w:left w:val="single" w:sz="12" w:space="11" w:color="4F81BD"/>
      </w:pBdr>
      <w:tabs>
        <w:tab w:val="left" w:pos="3620"/>
        <w:tab w:val="left" w:pos="3964"/>
      </w:tabs>
      <w:spacing w:after="0"/>
      <w:rPr>
        <w:rFonts w:ascii="Cambria" w:eastAsia="Cambria" w:hAnsi="Cambria" w:cs="Cambria"/>
        <w:sz w:val="20"/>
        <w:szCs w:val="20"/>
      </w:rPr>
    </w:pPr>
    <w:r>
      <w:rPr>
        <w:rFonts w:ascii="Cambria" w:eastAsia="Cambria" w:hAnsi="Cambria" w:cs="Cambria"/>
        <w:sz w:val="20"/>
        <w:szCs w:val="20"/>
      </w:rPr>
      <w:t xml:space="preserve">Date Approved:                                                                                                               </w:t>
    </w:r>
  </w:p>
  <w:p w14:paraId="5E84DF69" w14:textId="77777777" w:rsidR="00AC3293" w:rsidRDefault="007A7D9E">
    <w:pPr>
      <w:pBdr>
        <w:left w:val="single" w:sz="12" w:space="11" w:color="4F81BD"/>
      </w:pBdr>
      <w:tabs>
        <w:tab w:val="left" w:pos="3620"/>
        <w:tab w:val="left" w:pos="3964"/>
      </w:tabs>
      <w:spacing w:after="0"/>
      <w:rPr>
        <w:rFonts w:ascii="Cambria" w:eastAsia="Cambria" w:hAnsi="Cambria" w:cs="Cambria"/>
        <w:sz w:val="20"/>
        <w:szCs w:val="20"/>
      </w:rPr>
    </w:pPr>
    <w:r>
      <w:rPr>
        <w:rFonts w:ascii="Cambria" w:eastAsia="Cambria" w:hAnsi="Cambria" w:cs="Cambria"/>
        <w:sz w:val="20"/>
        <w:szCs w:val="20"/>
      </w:rPr>
      <w:t xml:space="preserve">Next Review: </w:t>
    </w:r>
  </w:p>
  <w:p w14:paraId="2A7BB070" w14:textId="77777777" w:rsidR="00AC3293" w:rsidRDefault="00AC3293">
    <w:pPr>
      <w:pBdr>
        <w:top w:val="nil"/>
        <w:left w:val="nil"/>
        <w:bottom w:val="nil"/>
        <w:right w:val="nil"/>
        <w:between w:val="nil"/>
      </w:pBdr>
      <w:tabs>
        <w:tab w:val="center" w:pos="4513"/>
        <w:tab w:val="right" w:pos="9026"/>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F183D"/>
    <w:multiLevelType w:val="multilevel"/>
    <w:tmpl w:val="151C3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4A4EE4"/>
    <w:multiLevelType w:val="multilevel"/>
    <w:tmpl w:val="A5821548"/>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4D0245"/>
    <w:multiLevelType w:val="multilevel"/>
    <w:tmpl w:val="8E4A502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108363">
    <w:abstractNumId w:val="0"/>
  </w:num>
  <w:num w:numId="2" w16cid:durableId="140928704">
    <w:abstractNumId w:val="1"/>
  </w:num>
  <w:num w:numId="3" w16cid:durableId="224221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293"/>
    <w:rsid w:val="00183B39"/>
    <w:rsid w:val="0025563E"/>
    <w:rsid w:val="0050701C"/>
    <w:rsid w:val="0056740A"/>
    <w:rsid w:val="005B1B46"/>
    <w:rsid w:val="005C20F6"/>
    <w:rsid w:val="006C1E71"/>
    <w:rsid w:val="007A7D9E"/>
    <w:rsid w:val="007E1E25"/>
    <w:rsid w:val="00A30526"/>
    <w:rsid w:val="00AA01CA"/>
    <w:rsid w:val="00AA106B"/>
    <w:rsid w:val="00AC3293"/>
    <w:rsid w:val="00B04CBD"/>
    <w:rsid w:val="00D57389"/>
    <w:rsid w:val="00E57F41"/>
    <w:rsid w:val="00E93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EAED"/>
  <w15:docId w15:val="{A27EA76A-73B6-478E-B9FF-D9C887DD3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98D"/>
  </w:style>
  <w:style w:type="paragraph" w:styleId="Heading1">
    <w:name w:val="heading 1"/>
    <w:basedOn w:val="Normal"/>
    <w:next w:val="Normal"/>
    <w:link w:val="Heading1Char"/>
    <w:uiPriority w:val="9"/>
    <w:qFormat/>
    <w:rsid w:val="006848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75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B6E9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B0A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A3C"/>
  </w:style>
  <w:style w:type="paragraph" w:styleId="Footer">
    <w:name w:val="footer"/>
    <w:basedOn w:val="Normal"/>
    <w:link w:val="FooterChar"/>
    <w:uiPriority w:val="99"/>
    <w:unhideWhenUsed/>
    <w:rsid w:val="00FB0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A3C"/>
  </w:style>
  <w:style w:type="table" w:styleId="TableGrid">
    <w:name w:val="Table Grid"/>
    <w:basedOn w:val="TableNormal"/>
    <w:uiPriority w:val="39"/>
    <w:rsid w:val="00FF7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3E0A"/>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6848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4891"/>
    <w:pPr>
      <w:outlineLvl w:val="9"/>
    </w:pPr>
    <w:rPr>
      <w:lang w:val="en-US"/>
    </w:rPr>
  </w:style>
  <w:style w:type="paragraph" w:styleId="ListParagraph">
    <w:name w:val="List Paragraph"/>
    <w:basedOn w:val="Normal"/>
    <w:uiPriority w:val="34"/>
    <w:qFormat/>
    <w:rsid w:val="005F1CE4"/>
    <w:pPr>
      <w:ind w:left="720"/>
      <w:contextualSpacing/>
    </w:pPr>
  </w:style>
  <w:style w:type="paragraph" w:styleId="TOC1">
    <w:name w:val="toc 1"/>
    <w:basedOn w:val="Normal"/>
    <w:next w:val="Normal"/>
    <w:autoRedefine/>
    <w:uiPriority w:val="39"/>
    <w:unhideWhenUsed/>
    <w:rsid w:val="005F1CE4"/>
    <w:pPr>
      <w:spacing w:after="100"/>
    </w:pPr>
  </w:style>
  <w:style w:type="character" w:styleId="Hyperlink">
    <w:name w:val="Hyperlink"/>
    <w:basedOn w:val="DefaultParagraphFont"/>
    <w:uiPriority w:val="99"/>
    <w:unhideWhenUsed/>
    <w:rsid w:val="005F1CE4"/>
    <w:rPr>
      <w:color w:val="0563C1" w:themeColor="hyperlink"/>
      <w:u w:val="single"/>
    </w:rPr>
  </w:style>
  <w:style w:type="character" w:styleId="CommentReference">
    <w:name w:val="annotation reference"/>
    <w:basedOn w:val="DefaultParagraphFont"/>
    <w:uiPriority w:val="99"/>
    <w:semiHidden/>
    <w:unhideWhenUsed/>
    <w:rsid w:val="005F1CE4"/>
    <w:rPr>
      <w:sz w:val="16"/>
      <w:szCs w:val="16"/>
    </w:rPr>
  </w:style>
  <w:style w:type="paragraph" w:styleId="CommentText">
    <w:name w:val="annotation text"/>
    <w:basedOn w:val="Normal"/>
    <w:link w:val="CommentTextChar"/>
    <w:uiPriority w:val="99"/>
    <w:semiHidden/>
    <w:unhideWhenUsed/>
    <w:rsid w:val="005F1CE4"/>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F1CE4"/>
    <w:rPr>
      <w:rFonts w:eastAsiaTheme="minorEastAsia"/>
      <w:sz w:val="20"/>
      <w:szCs w:val="20"/>
      <w:lang w:eastAsia="en-GB"/>
    </w:rPr>
  </w:style>
  <w:style w:type="paragraph" w:styleId="BalloonText">
    <w:name w:val="Balloon Text"/>
    <w:basedOn w:val="Normal"/>
    <w:link w:val="BalloonTextChar"/>
    <w:uiPriority w:val="99"/>
    <w:semiHidden/>
    <w:unhideWhenUsed/>
    <w:rsid w:val="005F1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CE4"/>
    <w:rPr>
      <w:rFonts w:ascii="Segoe UI" w:hAnsi="Segoe UI" w:cs="Segoe UI"/>
      <w:sz w:val="18"/>
      <w:szCs w:val="18"/>
    </w:rPr>
  </w:style>
  <w:style w:type="table" w:customStyle="1" w:styleId="TableGrid1">
    <w:name w:val="Table Grid1"/>
    <w:basedOn w:val="TableNormal"/>
    <w:next w:val="TableGrid"/>
    <w:uiPriority w:val="39"/>
    <w:rsid w:val="003E0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475B9"/>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9475B9"/>
    <w:pPr>
      <w:widowControl w:val="0"/>
      <w:autoSpaceDE w:val="0"/>
      <w:autoSpaceDN w:val="0"/>
      <w:spacing w:after="0" w:line="240" w:lineRule="auto"/>
    </w:pPr>
    <w:rPr>
      <w:rFonts w:ascii="Tahoma" w:eastAsia="Tahoma" w:hAnsi="Tahoma" w:cs="Tahoma"/>
      <w:lang w:bidi="en-GB"/>
    </w:rPr>
  </w:style>
  <w:style w:type="character" w:customStyle="1" w:styleId="BodyTextChar">
    <w:name w:val="Body Text Char"/>
    <w:basedOn w:val="DefaultParagraphFont"/>
    <w:link w:val="BodyText"/>
    <w:uiPriority w:val="1"/>
    <w:rsid w:val="009475B9"/>
    <w:rPr>
      <w:rFonts w:ascii="Tahoma" w:eastAsia="Tahoma" w:hAnsi="Tahoma" w:cs="Tahoma"/>
      <w:lang w:eastAsia="en-GB" w:bidi="en-GB"/>
    </w:rPr>
  </w:style>
  <w:style w:type="paragraph" w:styleId="BodyTextIndent2">
    <w:name w:val="Body Text Indent 2"/>
    <w:basedOn w:val="Normal"/>
    <w:link w:val="BodyTextIndent2Char"/>
    <w:uiPriority w:val="99"/>
    <w:semiHidden/>
    <w:unhideWhenUsed/>
    <w:rsid w:val="00C90C58"/>
    <w:pPr>
      <w:spacing w:after="120" w:line="480" w:lineRule="auto"/>
      <w:ind w:left="283"/>
    </w:pPr>
  </w:style>
  <w:style w:type="character" w:customStyle="1" w:styleId="BodyTextIndent2Char">
    <w:name w:val="Body Text Indent 2 Char"/>
    <w:basedOn w:val="DefaultParagraphFont"/>
    <w:link w:val="BodyTextIndent2"/>
    <w:uiPriority w:val="99"/>
    <w:semiHidden/>
    <w:rsid w:val="00C90C58"/>
  </w:style>
  <w:style w:type="paragraph" w:styleId="BodyTextIndent3">
    <w:name w:val="Body Text Indent 3"/>
    <w:basedOn w:val="Normal"/>
    <w:link w:val="BodyTextIndent3Char"/>
    <w:uiPriority w:val="99"/>
    <w:semiHidden/>
    <w:unhideWhenUsed/>
    <w:rsid w:val="00C90C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0C58"/>
    <w:rPr>
      <w:sz w:val="16"/>
      <w:szCs w:val="16"/>
    </w:rPr>
  </w:style>
  <w:style w:type="character" w:customStyle="1" w:styleId="Heading4Char">
    <w:name w:val="Heading 4 Char"/>
    <w:basedOn w:val="DefaultParagraphFont"/>
    <w:link w:val="Heading4"/>
    <w:uiPriority w:val="9"/>
    <w:semiHidden/>
    <w:rsid w:val="002B6E91"/>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073FB3"/>
    <w:pPr>
      <w:widowControl w:val="0"/>
      <w:autoSpaceDE w:val="0"/>
      <w:autoSpaceDN w:val="0"/>
      <w:spacing w:after="0" w:line="240" w:lineRule="auto"/>
      <w:ind w:left="107"/>
    </w:pPr>
    <w:rPr>
      <w:rFonts w:ascii="Tahoma" w:eastAsia="Tahoma" w:hAnsi="Tahoma" w:cs="Tahoma"/>
      <w:lang w:bidi="en-GB"/>
    </w:rPr>
  </w:style>
  <w:style w:type="paragraph" w:styleId="TOC2">
    <w:name w:val="toc 2"/>
    <w:basedOn w:val="Normal"/>
    <w:next w:val="Normal"/>
    <w:autoRedefine/>
    <w:uiPriority w:val="39"/>
    <w:unhideWhenUsed/>
    <w:rsid w:val="00655A7A"/>
    <w:pPr>
      <w:spacing w:after="100"/>
      <w:ind w:left="220"/>
    </w:pPr>
  </w:style>
  <w:style w:type="paragraph" w:styleId="NoSpacing">
    <w:name w:val="No Spacing"/>
    <w:uiPriority w:val="1"/>
    <w:qFormat/>
    <w:rsid w:val="005B3853"/>
    <w:pPr>
      <w:spacing w:after="0" w:line="240" w:lineRule="auto"/>
    </w:pPr>
  </w:style>
  <w:style w:type="character" w:styleId="UnresolvedMention">
    <w:name w:val="Unresolved Mention"/>
    <w:basedOn w:val="DefaultParagraphFont"/>
    <w:uiPriority w:val="99"/>
    <w:semiHidden/>
    <w:unhideWhenUsed/>
    <w:rsid w:val="001F109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character" w:styleId="PageNumber">
    <w:name w:val="page number"/>
    <w:basedOn w:val="DefaultParagraphFont"/>
    <w:uiPriority w:val="99"/>
    <w:semiHidden/>
    <w:unhideWhenUsed/>
    <w:rsid w:val="00A30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GvPZSxmO/L1wvSPN0LdNNzCgw==">CgMxLjAyCGguZ2pkZ3hzMgloLjMwajB6bGwyCWguMWZvYjl0ZTIJaC4zem55c2g3Mg5oLjM4MTdkc3ZnZ2J1NjIIaC50eWpjd3QyCWguM2R5NnZrbTIJaC4xdDNoNXNmMgloLjRkMzRvZzg4AHIhMTZNZTJIOXlFUFh0bFFSb0xvM1NiN2JTRWxPT19KX0VF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2565</Words>
  <Characters>14624</Characters>
  <Application>Microsoft Office Word</Application>
  <DocSecurity>0</DocSecurity>
  <Lines>121</Lines>
  <Paragraphs>34</Paragraphs>
  <ScaleCrop>false</ScaleCrop>
  <Company/>
  <LinksUpToDate>false</LinksUpToDate>
  <CharactersWithSpaces>17155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Jones</dc:creator>
  <cp:lastModifiedBy>Elite Tuition</cp:lastModifiedBy>
  <cp:revision>2</cp:revision>
  <cp:lastPrinted>2025-10-28T10:25:00Z</cp:lastPrinted>
  <dcterms:created xsi:type="dcterms:W3CDTF">2025-10-28T10:32:00Z</dcterms:created>
  <dcterms:modified xsi:type="dcterms:W3CDTF">2025-10-28T10:32:00Z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0x01010064E8F261DAFB2B45B44C23F975F7E0EB</vt:lpwstr>
  </property>
  <property fmtid="{D5CDD505-2E9C-101B-9397-08002B2CF9AE}" pid="3" name="MediaServiceImageTags">
    <vt:lpwstr>MediaServiceImageTags</vt:lpwstr>
  </property>
</Properties>
</file>