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entury Gothic" w:cs="Century Gothic" w:eastAsia="Century Gothic" w:hAnsi="Century Gothic"/>
          <w:b w:val="1"/>
          <w:sz w:val="32"/>
          <w:szCs w:val="32"/>
        </w:rPr>
      </w:pPr>
      <w:r w:rsidDel="00000000" w:rsidR="00000000" w:rsidRPr="00000000">
        <w:rPr>
          <w:rFonts w:ascii="Aptos" w:cs="Aptos" w:eastAsia="Aptos" w:hAnsi="Aptos"/>
          <w:b w:val="1"/>
          <w:color w:val="000000"/>
        </w:rPr>
        <w:drawing>
          <wp:inline distB="0" distT="0" distL="0" distR="0">
            <wp:extent cx="1402080" cy="1234440"/>
            <wp:effectExtent b="0" l="0" r="0" t="0"/>
            <wp:docPr descr="A bird flying in the air&#10;&#10;Description automatically generated" id="3" name="image1.png"/>
            <a:graphic>
              <a:graphicData uri="http://schemas.openxmlformats.org/drawingml/2006/picture">
                <pic:pic>
                  <pic:nvPicPr>
                    <pic:cNvPr descr="A bird flying in the air&#10;&#10;Description automatically generated" id="0" name="image1.png"/>
                    <pic:cNvPicPr preferRelativeResize="0"/>
                  </pic:nvPicPr>
                  <pic:blipFill>
                    <a:blip r:embed="rId7"/>
                    <a:srcRect b="0" l="0" r="0" t="0"/>
                    <a:stretch>
                      <a:fillRect/>
                    </a:stretch>
                  </pic:blipFill>
                  <pic:spPr>
                    <a:xfrm>
                      <a:off x="0" y="0"/>
                      <a:ext cx="1402080" cy="123444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Century Gothic" w:cs="Century Gothic" w:eastAsia="Century Gothic" w:hAnsi="Century Gothic"/>
          <w:b w:val="1"/>
          <w:sz w:val="32"/>
          <w:szCs w:val="32"/>
        </w:rPr>
      </w:pPr>
      <w:r w:rsidDel="00000000" w:rsidR="00000000" w:rsidRPr="00000000">
        <w:rPr>
          <w:rtl w:val="0"/>
        </w:rPr>
      </w:r>
    </w:p>
    <w:p w:rsidR="00000000" w:rsidDel="00000000" w:rsidP="00000000" w:rsidRDefault="00000000" w:rsidRPr="00000000" w14:paraId="00000003">
      <w:pPr>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sz w:val="32"/>
          <w:szCs w:val="32"/>
          <w:rtl w:val="0"/>
        </w:rPr>
        <w:t xml:space="preserve">HUNTINGDON HOUSE SCHOOL ACCESSIBILITY PLAN</w:t>
      </w:r>
    </w:p>
    <w:p w:rsidR="00000000" w:rsidDel="00000000" w:rsidP="00000000" w:rsidRDefault="00000000" w:rsidRPr="00000000" w14:paraId="00000004">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Schools are required under the Equality Act 2010 to have an accessibility plan. </w:t>
      </w:r>
    </w:p>
    <w:p w:rsidR="00000000" w:rsidDel="00000000" w:rsidP="00000000" w:rsidRDefault="00000000" w:rsidRPr="00000000" w14:paraId="00000006">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purpose of the plan is to ensure: </w:t>
      </w:r>
    </w:p>
    <w:p w:rsidR="00000000" w:rsidDel="00000000" w:rsidP="00000000" w:rsidRDefault="00000000" w:rsidRPr="00000000" w14:paraId="0000000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Access to the environment </w:t>
      </w:r>
    </w:p>
    <w:p w:rsidR="00000000" w:rsidDel="00000000" w:rsidP="00000000" w:rsidRDefault="00000000" w:rsidRPr="00000000" w14:paraId="0000000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Access to the curriculum </w:t>
      </w:r>
    </w:p>
    <w:p w:rsidR="00000000" w:rsidDel="00000000" w:rsidP="00000000" w:rsidRDefault="00000000" w:rsidRPr="00000000" w14:paraId="0000000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Access to communication </w:t>
      </w:r>
    </w:p>
    <w:p w:rsidR="00000000" w:rsidDel="00000000" w:rsidP="00000000" w:rsidRDefault="00000000" w:rsidRPr="00000000" w14:paraId="0000000A">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Our school aims to treat all its pupils fairly and with respect. This involves providing access and opportunities for all pupils without discrimination of any kind. The plan will be made available online on the school website, and paper copies are available upon request. Our school is also committed to ensuring staff are trained in equality issues with reference to the Equality Act 2010, including understanding disability issues. The school supports any available partnerships to develop and implement the plan. Our school’s complaints policy covers the accessibility plan. If you have any concerns relating to accessibility in school, the complaints procedure sets out the process for raising these concerns.</w:t>
      </w:r>
    </w:p>
    <w:p w:rsidR="00000000" w:rsidDel="00000000" w:rsidP="00000000" w:rsidRDefault="00000000" w:rsidRPr="00000000" w14:paraId="0000000B">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Legislation and guidance </w:t>
      </w:r>
    </w:p>
    <w:p w:rsidR="00000000" w:rsidDel="00000000" w:rsidP="00000000" w:rsidRDefault="00000000" w:rsidRPr="00000000" w14:paraId="0000000E">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F">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document meets the requirements of schedule 10 of the Equality Act 2010 and the Department for Education (DfE) guidance for schools on the Equality Act 2010. The Equality Act 2010 defines an individual as disabled if they have a physical or mental impairment that has a ‘substantial’ and ‘long-term’ adverse effect on their ability to undertake normal day to day activities. Under the Special Educational Needs and Disability (SEND) Code of Practice, ‘long-term’ is defined as ‘a year or more’ and ‘substantial’ is defined as ‘more than minor or trivial.’ The definition includes sensory impairments such as those affecting sight or hearing, and long-term health conditions such as asthma, diabetes, epilepsy, and cancer. Schools are required to make ‘reasonable adjustments’ for pupils with disabilities under the Equality Act 2010, to alleviate any substantial disadvantage that a disabled pupil faces in comparison with non-disabled pupils. This can include, for example, the provision of an auxiliary aid or adjustments to premises. </w:t>
      </w:r>
    </w:p>
    <w:p w:rsidR="00000000" w:rsidDel="00000000" w:rsidP="00000000" w:rsidRDefault="00000000" w:rsidRPr="00000000" w14:paraId="00000010">
      <w:pPr>
        <w:rPr>
          <w:rFonts w:ascii="Century Gothic" w:cs="Century Gothic" w:eastAsia="Century Gothic" w:hAnsi="Century Gothic"/>
        </w:rPr>
      </w:pPr>
      <w:r w:rsidDel="00000000" w:rsidR="00000000" w:rsidRPr="00000000">
        <w:rPr>
          <w:rtl w:val="0"/>
        </w:rPr>
      </w:r>
    </w:p>
    <w:tbl>
      <w:tblPr>
        <w:tblStyle w:val="Table1"/>
        <w:tblW w:w="1394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14"/>
        <w:gridCol w:w="2174"/>
        <w:gridCol w:w="2054"/>
        <w:gridCol w:w="1956"/>
        <w:gridCol w:w="2078"/>
        <w:gridCol w:w="1877"/>
        <w:gridCol w:w="1795"/>
        <w:tblGridChange w:id="0">
          <w:tblGrid>
            <w:gridCol w:w="2014"/>
            <w:gridCol w:w="2174"/>
            <w:gridCol w:w="2054"/>
            <w:gridCol w:w="1956"/>
            <w:gridCol w:w="2078"/>
            <w:gridCol w:w="1877"/>
            <w:gridCol w:w="1795"/>
          </w:tblGrid>
        </w:tblGridChange>
      </w:tblGrid>
      <w:tr>
        <w:trPr>
          <w:cantSplit w:val="0"/>
          <w:tblHeader w:val="0"/>
        </w:trPr>
        <w:tc>
          <w:tcPr/>
          <w:p w:rsidR="00000000" w:rsidDel="00000000" w:rsidP="00000000" w:rsidRDefault="00000000" w:rsidRPr="00000000" w14:paraId="00000011">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Aim</w:t>
            </w:r>
          </w:p>
        </w:tc>
        <w:tc>
          <w:tcPr/>
          <w:p w:rsidR="00000000" w:rsidDel="00000000" w:rsidP="00000000" w:rsidRDefault="00000000" w:rsidRPr="00000000" w14:paraId="0000001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Example of good practice</w:t>
            </w:r>
          </w:p>
        </w:tc>
        <w:tc>
          <w:tcPr/>
          <w:p w:rsidR="00000000" w:rsidDel="00000000" w:rsidP="00000000" w:rsidRDefault="00000000" w:rsidRPr="00000000" w14:paraId="0000001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Objectives</w:t>
            </w:r>
          </w:p>
        </w:tc>
        <w:tc>
          <w:tcPr/>
          <w:p w:rsidR="00000000" w:rsidDel="00000000" w:rsidP="00000000" w:rsidRDefault="00000000" w:rsidRPr="00000000" w14:paraId="0000001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Action to be taken</w:t>
            </w:r>
          </w:p>
        </w:tc>
        <w:tc>
          <w:tcPr/>
          <w:p w:rsidR="00000000" w:rsidDel="00000000" w:rsidP="00000000" w:rsidRDefault="00000000" w:rsidRPr="00000000" w14:paraId="0000001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Person responsible </w:t>
            </w:r>
          </w:p>
        </w:tc>
        <w:tc>
          <w:tcPr/>
          <w:p w:rsidR="00000000" w:rsidDel="00000000" w:rsidP="00000000" w:rsidRDefault="00000000" w:rsidRPr="00000000" w14:paraId="00000016">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c>
          <w:tcPr/>
          <w:p w:rsidR="00000000" w:rsidDel="00000000" w:rsidP="00000000" w:rsidRDefault="00000000" w:rsidRPr="00000000" w14:paraId="0000001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Success Criteria</w:t>
            </w:r>
          </w:p>
        </w:tc>
      </w:tr>
      <w:tr>
        <w:trPr>
          <w:cantSplit w:val="0"/>
          <w:tblHeader w:val="0"/>
        </w:trPr>
        <w:tc>
          <w:tcPr/>
          <w:p w:rsidR="00000000" w:rsidDel="00000000" w:rsidP="00000000" w:rsidRDefault="00000000" w:rsidRPr="00000000" w14:paraId="00000018">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Secure staff expertise (SEN): New school with newly appointed staff.</w:t>
            </w:r>
          </w:p>
        </w:tc>
        <w:tc>
          <w:tcPr/>
          <w:p w:rsidR="00000000" w:rsidDel="00000000" w:rsidP="00000000" w:rsidRDefault="00000000" w:rsidRPr="00000000" w14:paraId="00000019">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Our school offers a curriculum designed for all our SEN pupils </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We use resources tailored to the needs of individual pupils who require support to access the curriculum </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Curriculum progress is tracked for all pupils,</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Targets are set effectively and are appropriate for pupils </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The curriculum is reviewed to make sure it meets the needs of all pupils</w:t>
            </w:r>
          </w:p>
          <w:p w:rsidR="00000000" w:rsidDel="00000000" w:rsidP="00000000" w:rsidRDefault="00000000" w:rsidRPr="00000000" w14:paraId="0000001F">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0">
            <w:pPr>
              <w:rPr>
                <w:rFonts w:ascii="Century Gothic" w:cs="Century Gothic" w:eastAsia="Century Gothic" w:hAnsi="Century Gothic"/>
                <w:sz w:val="20"/>
                <w:szCs w:val="20"/>
              </w:rPr>
            </w:pPr>
            <w:r w:rsidDel="00000000" w:rsidR="00000000" w:rsidRPr="00000000">
              <w:rPr>
                <w:rtl w:val="0"/>
              </w:rPr>
            </w:r>
          </w:p>
        </w:tc>
        <w:tc>
          <w:tcPr/>
          <w:p w:rsidR="00000000" w:rsidDel="00000000" w:rsidP="00000000" w:rsidRDefault="00000000" w:rsidRPr="00000000" w14:paraId="00000021">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2">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develop neurodiversity affirming practices</w:t>
            </w:r>
          </w:p>
          <w:p w:rsidR="00000000" w:rsidDel="00000000" w:rsidP="00000000" w:rsidRDefault="00000000" w:rsidRPr="00000000" w14:paraId="00000023">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and supportive resources.</w:t>
            </w:r>
          </w:p>
          <w:p w:rsidR="00000000" w:rsidDel="00000000" w:rsidP="00000000" w:rsidRDefault="00000000" w:rsidRPr="00000000" w14:paraId="00000024">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5">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6">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7">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8">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9">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continually review our curriculum offer to ensure teaching is relevant and meaningful</w:t>
            </w:r>
          </w:p>
        </w:tc>
        <w:tc>
          <w:tcPr/>
          <w:p w:rsidR="00000000" w:rsidDel="00000000" w:rsidP="00000000" w:rsidRDefault="00000000" w:rsidRPr="00000000" w14:paraId="0000002A">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B">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Staff audit to establish training need</w:t>
            </w:r>
          </w:p>
          <w:p w:rsidR="00000000" w:rsidDel="00000000" w:rsidP="00000000" w:rsidRDefault="00000000" w:rsidRPr="00000000" w14:paraId="0000002C">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D">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Staff training to include neuro-divergent guest speakers Involvement of neuro-divergent individuals including pupils, parents, and staff Train and pilot Autism Level Up approach to self-regulation </w:t>
            </w:r>
          </w:p>
          <w:p w:rsidR="00000000" w:rsidDel="00000000" w:rsidP="00000000" w:rsidRDefault="00000000" w:rsidRPr="00000000" w14:paraId="0000002E">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F">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Subject leaders and class teachers to ensure teaching reflects curriculum intent. </w:t>
            </w:r>
          </w:p>
          <w:p w:rsidR="00000000" w:rsidDel="00000000" w:rsidP="00000000" w:rsidRDefault="00000000" w:rsidRPr="00000000" w14:paraId="00000030">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1">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Maintain staff training so that they are aware of and understand pupils SEND</w:t>
            </w:r>
          </w:p>
          <w:p w:rsidR="00000000" w:rsidDel="00000000" w:rsidP="00000000" w:rsidRDefault="00000000" w:rsidRPr="00000000" w14:paraId="00000032">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3">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Purchase pupil specific learning resources.</w:t>
            </w:r>
          </w:p>
        </w:tc>
        <w:tc>
          <w:tcPr/>
          <w:p w:rsidR="00000000" w:rsidDel="00000000" w:rsidP="00000000" w:rsidRDefault="00000000" w:rsidRPr="00000000" w14:paraId="00000034">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5">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Will Price </w:t>
            </w:r>
          </w:p>
        </w:tc>
        <w:tc>
          <w:tcPr/>
          <w:p w:rsidR="00000000" w:rsidDel="00000000" w:rsidP="00000000" w:rsidRDefault="00000000" w:rsidRPr="00000000" w14:paraId="00000036">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7">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2025</w:t>
            </w:r>
          </w:p>
        </w:tc>
        <w:tc>
          <w:tcPr/>
          <w:p w:rsidR="00000000" w:rsidDel="00000000" w:rsidP="00000000" w:rsidRDefault="00000000" w:rsidRPr="00000000" w14:paraId="00000038">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9">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Strengths and rights-based approach to developmental differences  support and adaptations that affirm the child's neuro-divergent identity. </w:t>
            </w:r>
          </w:p>
          <w:p w:rsidR="00000000" w:rsidDel="00000000" w:rsidP="00000000" w:rsidRDefault="00000000" w:rsidRPr="00000000" w14:paraId="0000003A">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B">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Approach to supporting pupils to develop knowledge of self and consequently better able to self-regulate </w:t>
            </w:r>
          </w:p>
          <w:p w:rsidR="00000000" w:rsidDel="00000000" w:rsidP="00000000" w:rsidRDefault="00000000" w:rsidRPr="00000000" w14:paraId="0000003C">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D">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Relevant and meaningful curriculum offer </w:t>
            </w:r>
          </w:p>
          <w:p w:rsidR="00000000" w:rsidDel="00000000" w:rsidP="00000000" w:rsidRDefault="00000000" w:rsidRPr="00000000" w14:paraId="0000003E">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F">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Knowledgeable staff who understand and are skilled to meet needs of pupils</w:t>
            </w:r>
          </w:p>
        </w:tc>
      </w:tr>
      <w:tr>
        <w:trPr>
          <w:cantSplit w:val="0"/>
          <w:tblHeader w:val="0"/>
        </w:trPr>
        <w:tc>
          <w:tcPr/>
          <w:p w:rsidR="00000000" w:rsidDel="00000000" w:rsidP="00000000" w:rsidRDefault="00000000" w:rsidRPr="00000000" w14:paraId="00000040">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Improve and maintain access to the physical environment</w:t>
            </w:r>
          </w:p>
        </w:tc>
        <w:tc>
          <w:tcPr/>
          <w:p w:rsidR="00000000" w:rsidDel="00000000" w:rsidP="00000000" w:rsidRDefault="00000000" w:rsidRPr="00000000" w14:paraId="00000041">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environment is adapted to the needs of pupils as required. This includes: </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Ramps  </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Corridor width </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Disabled parking bay </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Disabled toilets and changing facilities </w:t>
            </w:r>
          </w:p>
          <w:p w:rsidR="00000000" w:rsidDel="00000000" w:rsidP="00000000" w:rsidRDefault="00000000" w:rsidRPr="00000000" w14:paraId="00000046">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7">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Consideration given to reducing sensory overload</w:t>
            </w:r>
          </w:p>
        </w:tc>
        <w:tc>
          <w:tcPr/>
          <w:p w:rsidR="00000000" w:rsidDel="00000000" w:rsidP="00000000" w:rsidRDefault="00000000" w:rsidRPr="00000000" w14:paraId="00000048">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re-develop sensory rooms to better suit the needs of our pupils e.g., sensory lounges To include symbols in on signage around school</w:t>
            </w:r>
          </w:p>
        </w:tc>
        <w:tc>
          <w:tcPr/>
          <w:p w:rsidR="00000000" w:rsidDel="00000000" w:rsidP="00000000" w:rsidRDefault="00000000" w:rsidRPr="00000000" w14:paraId="00000049">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Research sensory approaches to best support pupils at Huntingdon House School </w:t>
            </w:r>
          </w:p>
          <w:p w:rsidR="00000000" w:rsidDel="00000000" w:rsidP="00000000" w:rsidRDefault="00000000" w:rsidRPr="00000000" w14:paraId="0000004A">
            <w:pP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sz w:val="20"/>
                <w:szCs w:val="20"/>
                <w:rtl w:val="0"/>
              </w:rPr>
              <w:t xml:space="preserve">Seek views from pupils and staff and </w:t>
            </w:r>
            <w:r w:rsidDel="00000000" w:rsidR="00000000" w:rsidRPr="00000000">
              <w:rPr>
                <w:rFonts w:ascii="Century Gothic" w:cs="Century Gothic" w:eastAsia="Century Gothic" w:hAnsi="Century Gothic"/>
                <w:b w:val="1"/>
                <w:sz w:val="20"/>
                <w:szCs w:val="20"/>
                <w:rtl w:val="0"/>
              </w:rPr>
              <w:t xml:space="preserve">occupational therapist </w:t>
            </w:r>
          </w:p>
          <w:p w:rsidR="00000000" w:rsidDel="00000000" w:rsidP="00000000" w:rsidRDefault="00000000" w:rsidRPr="00000000" w14:paraId="0000004B">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Seek best value company to design and install equipment </w:t>
            </w:r>
          </w:p>
          <w:p w:rsidR="00000000" w:rsidDel="00000000" w:rsidP="00000000" w:rsidRDefault="00000000" w:rsidRPr="00000000" w14:paraId="0000004C">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Train staff so they understand and make effective use of space Identify signs and appropriate symbols. Commission signage company to complete work</w:t>
            </w:r>
          </w:p>
          <w:p w:rsidR="00000000" w:rsidDel="00000000" w:rsidP="00000000" w:rsidRDefault="00000000" w:rsidRPr="00000000" w14:paraId="0000004D">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E">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F">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0">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1">
            <w:pPr>
              <w:rPr>
                <w:rFonts w:ascii="Century Gothic" w:cs="Century Gothic" w:eastAsia="Century Gothic" w:hAnsi="Century Gothic"/>
                <w:sz w:val="20"/>
                <w:szCs w:val="20"/>
              </w:rPr>
            </w:pPr>
            <w:r w:rsidDel="00000000" w:rsidR="00000000" w:rsidRPr="00000000">
              <w:rPr>
                <w:rtl w:val="0"/>
              </w:rPr>
            </w:r>
          </w:p>
        </w:tc>
        <w:tc>
          <w:tcPr/>
          <w:p w:rsidR="00000000" w:rsidDel="00000000" w:rsidP="00000000" w:rsidRDefault="00000000" w:rsidRPr="00000000" w14:paraId="00000052">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Will Price/Rebecca Lewis</w:t>
            </w:r>
          </w:p>
        </w:tc>
        <w:tc>
          <w:tcPr/>
          <w:p w:rsidR="00000000" w:rsidDel="00000000" w:rsidP="00000000" w:rsidRDefault="00000000" w:rsidRPr="00000000" w14:paraId="00000053">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2026</w:t>
            </w:r>
          </w:p>
        </w:tc>
        <w:tc>
          <w:tcPr/>
          <w:p w:rsidR="00000000" w:rsidDel="00000000" w:rsidP="00000000" w:rsidRDefault="00000000" w:rsidRPr="00000000" w14:paraId="00000054">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Sensory spaces that support pupils' ability to self-regulate enabling them to better access the curriculum Appropriate symbols on school signage</w:t>
            </w:r>
          </w:p>
        </w:tc>
      </w:tr>
      <w:tr>
        <w:trPr>
          <w:cantSplit w:val="0"/>
          <w:tblHeader w:val="0"/>
        </w:trPr>
        <w:tc>
          <w:tcPr/>
          <w:p w:rsidR="00000000" w:rsidDel="00000000" w:rsidP="00000000" w:rsidRDefault="00000000" w:rsidRPr="00000000" w14:paraId="00000055">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Improve access to communication</w:t>
            </w:r>
          </w:p>
        </w:tc>
        <w:tc>
          <w:tcPr/>
          <w:p w:rsidR="00000000" w:rsidDel="00000000" w:rsidP="00000000" w:rsidRDefault="00000000" w:rsidRPr="00000000" w14:paraId="00000056">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Our school uses a range of communication methods to make sure information is accessible. This includes:</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Objects </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Photographs pictures  symbols </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Signing – BSL (British Sign Language). Sign Supported English  Makaton</w:t>
            </w:r>
          </w:p>
        </w:tc>
        <w:tc>
          <w:tcPr/>
          <w:p w:rsidR="00000000" w:rsidDel="00000000" w:rsidP="00000000" w:rsidRDefault="00000000" w:rsidRPr="00000000" w14:paraId="0000005A">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further develop multi-modal communication systems for linguistically challenged pupils to include low- and high-tech resources To train staff to understand and use multi-modal communication strategies</w:t>
            </w:r>
          </w:p>
        </w:tc>
        <w:tc>
          <w:tcPr/>
          <w:p w:rsidR="00000000" w:rsidDel="00000000" w:rsidP="00000000" w:rsidRDefault="00000000" w:rsidRPr="00000000" w14:paraId="0000005B">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Audit communication systems used across school Identify pupils who would benefit from high tech communication aid Develop low tech communication e.g., communication boards </w:t>
            </w:r>
          </w:p>
          <w:p w:rsidR="00000000" w:rsidDel="00000000" w:rsidP="00000000" w:rsidRDefault="00000000" w:rsidRPr="00000000" w14:paraId="0000005C">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Train staff to support parents</w:t>
            </w:r>
          </w:p>
        </w:tc>
        <w:tc>
          <w:tcPr/>
          <w:p w:rsidR="00000000" w:rsidDel="00000000" w:rsidP="00000000" w:rsidRDefault="00000000" w:rsidRPr="00000000" w14:paraId="0000005D">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Will Price</w:t>
            </w:r>
          </w:p>
        </w:tc>
        <w:tc>
          <w:tcPr/>
          <w:p w:rsidR="00000000" w:rsidDel="00000000" w:rsidP="00000000" w:rsidRDefault="00000000" w:rsidRPr="00000000" w14:paraId="0000005E">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Jan 2027</w:t>
            </w:r>
          </w:p>
        </w:tc>
        <w:tc>
          <w:tcPr/>
          <w:p w:rsidR="00000000" w:rsidDel="00000000" w:rsidP="00000000" w:rsidRDefault="00000000" w:rsidRPr="00000000" w14:paraId="0000005F">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All pupils have access to multimodal forms of communication as necessary. Staff trained and effectively modelling Parents understand communication systems and use at home to support their child if communication is an issue. </w:t>
            </w:r>
          </w:p>
        </w:tc>
      </w:tr>
    </w:tbl>
    <w:p w:rsidR="00000000" w:rsidDel="00000000" w:rsidP="00000000" w:rsidRDefault="00000000" w:rsidRPr="00000000" w14:paraId="00000060">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1">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2">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3">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4">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5">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6">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Monitoring arrangements </w:t>
      </w:r>
    </w:p>
    <w:p w:rsidR="00000000" w:rsidDel="00000000" w:rsidP="00000000" w:rsidRDefault="00000000" w:rsidRPr="00000000" w14:paraId="00000067">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document will be reviewed every 3 years but may be reviewed and updated more frequently if necessary. </w:t>
      </w:r>
    </w:p>
    <w:p w:rsidR="00000000" w:rsidDel="00000000" w:rsidP="00000000" w:rsidRDefault="00000000" w:rsidRPr="00000000" w14:paraId="0000006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6A">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Links with other policies </w:t>
      </w:r>
    </w:p>
    <w:p w:rsidR="00000000" w:rsidDel="00000000" w:rsidP="00000000" w:rsidRDefault="00000000" w:rsidRPr="00000000" w14:paraId="0000006B">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C">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accessibility plan is linked to the following policies and documents: </w:t>
      </w:r>
    </w:p>
    <w:p w:rsidR="00000000" w:rsidDel="00000000" w:rsidP="00000000" w:rsidRDefault="00000000" w:rsidRPr="00000000" w14:paraId="0000006D">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Risk assessment policy </w:t>
      </w:r>
    </w:p>
    <w:p w:rsidR="00000000" w:rsidDel="00000000" w:rsidP="00000000" w:rsidRDefault="00000000" w:rsidRPr="00000000" w14:paraId="0000006F">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Health and safety policy </w:t>
      </w:r>
    </w:p>
    <w:p w:rsidR="00000000" w:rsidDel="00000000" w:rsidP="00000000" w:rsidRDefault="00000000" w:rsidRPr="00000000" w14:paraId="0000007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Equality and diversity policy</w:t>
      </w:r>
    </w:p>
    <w:p w:rsidR="00000000" w:rsidDel="00000000" w:rsidP="00000000" w:rsidRDefault="00000000" w:rsidRPr="00000000" w14:paraId="00000071">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Special educational needs (SEN) information report </w:t>
      </w:r>
    </w:p>
    <w:p w:rsidR="00000000" w:rsidDel="00000000" w:rsidP="00000000" w:rsidRDefault="00000000" w:rsidRPr="00000000" w14:paraId="0000007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Supporting pupils with medical conditions policy</w:t>
      </w:r>
    </w:p>
    <w:p w:rsidR="00000000" w:rsidDel="00000000" w:rsidP="00000000" w:rsidRDefault="00000000" w:rsidRPr="00000000" w14:paraId="00000073">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4">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5">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6">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7">
      <w:pPr>
        <w:rPr>
          <w:rFonts w:ascii="Century Gothic" w:cs="Century Gothic" w:eastAsia="Century Gothic" w:hAnsi="Century Gothic"/>
        </w:rPr>
      </w:pPr>
      <w:r w:rsidDel="00000000" w:rsidR="00000000" w:rsidRPr="00000000">
        <w:rPr>
          <w:rtl w:val="0"/>
        </w:rPr>
      </w:r>
    </w:p>
    <w:sectPr>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Aptos"/>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3B6CA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3B6CAA"/>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sFAl891pWHUgewmNfXFBL7bJFg==">CgMxLjA4AHIhMUxVLU85bm1BY1hJcjVZQlRMWkhSMWdaNkJuRm91NVBS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2024-08-27T17:56:00Z</dcterms:created>
  <dc:creator>George Caplan</dc:creator>
</cp:coreProperties>
</file>